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before="0" w:line="0" w:lineRule="atLeast"/>
        <w:ind w:firstLine="0" w:left="0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Протокол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подведения итогов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21000011530000000054, лот № 1</w:t>
      </w:r>
    </w:p>
    <w:p w14:paraId="02000000">
      <w:pPr>
        <w:widowControl w:val="0"/>
        <w:spacing w:after="0" w:before="0" w:line="0" w:lineRule="atLeast"/>
        <w:ind w:firstLine="0" w:left="0" w:right="0"/>
        <w:jc w:val="center"/>
        <w:rPr>
          <w:rFonts w:ascii="Times New Roman" w:hAnsi="Times New Roman"/>
          <w:sz w:val="24"/>
        </w:rPr>
      </w:pPr>
    </w:p>
    <w:tbl>
      <w:tblPr>
        <w:tblStyle w:val="Style_1"/>
        <w:tblInd w:type="dxa" w:w="136"/>
        <w:tblLayout w:type="fixed"/>
        <w:tblCellMar>
          <w:left w:type="dxa" w:w="100"/>
          <w:right w:type="dxa" w:w="100"/>
        </w:tblCellMar>
      </w:tblPr>
      <w:tblGrid>
        <w:gridCol w:w="5046"/>
        <w:gridCol w:w="5081"/>
      </w:tblGrid>
      <w:tr>
        <w:trPr>
          <w:trHeight w:hRule="atLeast" w:val="100"/>
        </w:trPr>
        <w:tc>
          <w:tcPr>
            <w:tcW w:type="dxa" w:w="5046"/>
            <w:tcMar>
              <w:left w:type="dxa" w:w="100"/>
              <w:right w:type="dxa" w:w="100"/>
            </w:tcMar>
            <w:vAlign w:val="top"/>
          </w:tcPr>
          <w:p w14:paraId="03000000">
            <w:pPr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Самарская область</w:t>
            </w:r>
          </w:p>
          <w:p w14:paraId="04000000">
            <w:pPr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Алексеевский район</w:t>
            </w:r>
          </w:p>
          <w:p w14:paraId="05000000">
            <w:pPr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Алексеевка</w:t>
            </w:r>
          </w:p>
        </w:tc>
        <w:tc>
          <w:tcPr>
            <w:tcW w:type="dxa" w:w="5081"/>
            <w:tcMar>
              <w:left w:type="dxa" w:w="100"/>
              <w:right w:type="dxa" w:w="100"/>
            </w:tcMar>
            <w:vAlign w:val="top"/>
          </w:tcPr>
          <w:p w14:paraId="06000000">
            <w:pPr>
              <w:widowControl w:val="0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«17» июля 2026 г.</w:t>
            </w:r>
          </w:p>
        </w:tc>
      </w:tr>
    </w:tbl>
    <w:p w14:paraId="07000000">
      <w:pPr>
        <w:widowControl w:val="0"/>
        <w:spacing w:after="0" w:before="0" w:line="0" w:lineRule="atLeast"/>
        <w:ind w:firstLine="567" w:left="0" w:right="0"/>
        <w:jc w:val="both"/>
        <w:rPr>
          <w:rFonts w:ascii="Times New Roman" w:hAnsi="Times New Roman"/>
          <w:sz w:val="24"/>
        </w:rPr>
      </w:pPr>
    </w:p>
    <w:p w14:paraId="08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Продавцом является: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ОБЛАСТИ».</w:t>
      </w:r>
    </w:p>
    <w:p w14:paraId="09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0A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1. Наименование процедуры:</w:t>
      </w:r>
    </w:p>
    <w:p w14:paraId="0B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Продажа муниципального имущества.</w:t>
      </w:r>
    </w:p>
    <w:p w14:paraId="0C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0D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 Предмета договора:</w:t>
      </w:r>
    </w:p>
    <w:p w14:paraId="0E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Автомобиль марки НИССАН ТЕАНА.</w:t>
      </w:r>
    </w:p>
    <w:p w14:paraId="0F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10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 Начальная цена договора:</w:t>
      </w:r>
    </w:p>
    <w:p w14:paraId="11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450 000,00 RUB. НДС не облагается</w:t>
      </w:r>
      <w:r>
        <w:rPr>
          <w:rFonts w:ascii="Times New Roman" w:hAnsi="Times New Roman"/>
          <w:sz w:val="24"/>
        </w:rPr>
        <w:t>.</w:t>
      </w:r>
    </w:p>
    <w:p w14:paraId="12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13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4. Дата и время начала аукциона:</w:t>
      </w:r>
    </w:p>
    <w:p w14:paraId="14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09 часов 00 минут (время московское) «17» июля 2026 года.</w:t>
      </w:r>
    </w:p>
    <w:p w14:paraId="15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16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5. Дата и время окончания аукциона:</w:t>
      </w:r>
    </w:p>
    <w:p w14:paraId="17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0"/>
          <w:sz w:val="24"/>
        </w:rPr>
        <w:t>09 часов 25 минут (время московское) «17» июля 2026 года.</w:t>
      </w:r>
    </w:p>
    <w:p w14:paraId="18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19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Извещение и документация о проведении настоящей процедуры были размещены «15» июня 2026 года на сайте Единой электронной торговой площадки (АО «ЕЭТП») в сети «Интернет» по адресу: </w:t>
      </w:r>
      <w:r>
        <w:rPr>
          <w:rStyle w:val="Style_2_ch"/>
          <w:rFonts w:ascii="Times New Roman" w:hAnsi="Times New Roman"/>
          <w:sz w:val="24"/>
        </w:rPr>
        <w:fldChar w:fldCharType="begin"/>
      </w:r>
      <w:r>
        <w:rPr>
          <w:rStyle w:val="Style_2_ch"/>
          <w:rFonts w:ascii="Times New Roman" w:hAnsi="Times New Roman"/>
          <w:sz w:val="24"/>
        </w:rPr>
        <w:instrText>HYPERLINK "http://178fz.roseltorg.ru"</w:instrText>
      </w:r>
      <w:r>
        <w:rPr>
          <w:rStyle w:val="Style_2_ch"/>
          <w:rFonts w:ascii="Times New Roman" w:hAnsi="Times New Roman"/>
          <w:sz w:val="24"/>
        </w:rPr>
        <w:fldChar w:fldCharType="separate"/>
      </w:r>
      <w:r>
        <w:rPr>
          <w:rStyle w:val="Style_2_ch"/>
          <w:rFonts w:ascii="Times New Roman" w:hAnsi="Times New Roman"/>
          <w:sz w:val="24"/>
        </w:rPr>
        <w:t>http://178fz.roseltorg.ru</w:t>
      </w:r>
      <w:r>
        <w:rPr>
          <w:rStyle w:val="Style_2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A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1B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Протокол подведения итогов является документом, удостоверяющим право победителя на заключение договора купли – продажи транспортного средства.</w:t>
      </w:r>
    </w:p>
    <w:p w14:paraId="1C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1D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Победителем процедуры 21000011530000000054, лот № 1 признан участник Шелкаев Денис Иванович, предложивший наибольшую цену лота в размере 540 000 (пятьсот сорок тысяч) рублей 00 копеек. Участником, сделавшим предпоследнее предложение о цене имущества в размере      517 500 (пятьсот семнадцать тысяч пятьсот) рублей 00 копеек, стал Синельников Алексей Игоревич.</w:t>
      </w:r>
    </w:p>
    <w:p w14:paraId="1E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1F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В течение пяти рабочих дней с даты подведения итогов процедуры с победителем заключается договор купли – продажи транспортного средства.</w:t>
      </w:r>
    </w:p>
    <w:p w14:paraId="20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21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 При уклонении или отказе победителя от заключения в установленный срок договора купли – продажи транспортного средства результаты процедуры аннулируются Организатором торгов. При этом победитель утрачивает право на заключение указанного договора купли – продажи транспортного средства, а задаток ему не возвращается.</w:t>
      </w:r>
    </w:p>
    <w:p w14:paraId="22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p w14:paraId="23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 Протокол подведения итогов будет размещен на сайте Единой электронной торговой площадки </w:t>
      </w:r>
      <w:r>
        <w:rPr>
          <w:rFonts w:ascii="Times New Roman" w:hAnsi="Times New Roman"/>
          <w:sz w:val="24"/>
        </w:rPr>
        <w:t>(АО «ЕЭТП»)</w:t>
      </w:r>
      <w:r>
        <w:rPr>
          <w:rFonts w:ascii="Times New Roman" w:hAnsi="Times New Roman"/>
          <w:sz w:val="24"/>
        </w:rPr>
        <w:t xml:space="preserve"> в сети «Интернет» по адресу: </w:t>
      </w:r>
      <w:r>
        <w:rPr>
          <w:rStyle w:val="Style_2_ch"/>
          <w:rFonts w:ascii="Times New Roman" w:hAnsi="Times New Roman"/>
          <w:sz w:val="24"/>
        </w:rPr>
        <w:fldChar w:fldCharType="begin"/>
      </w:r>
      <w:r>
        <w:rPr>
          <w:rStyle w:val="Style_2_ch"/>
          <w:rFonts w:ascii="Times New Roman" w:hAnsi="Times New Roman"/>
          <w:sz w:val="24"/>
        </w:rPr>
        <w:instrText>HYPERLINK "http://178fz.roseltorg.ru"</w:instrText>
      </w:r>
      <w:r>
        <w:rPr>
          <w:rStyle w:val="Style_2_ch"/>
          <w:rFonts w:ascii="Times New Roman" w:hAnsi="Times New Roman"/>
          <w:sz w:val="24"/>
        </w:rPr>
        <w:fldChar w:fldCharType="separate"/>
      </w:r>
      <w:r>
        <w:rPr>
          <w:rStyle w:val="Style_2_ch"/>
          <w:rFonts w:ascii="Times New Roman" w:hAnsi="Times New Roman"/>
          <w:sz w:val="24"/>
        </w:rPr>
        <w:t>http://178fz.roseltorg.ru</w:t>
      </w:r>
      <w:r>
        <w:rPr>
          <w:rStyle w:val="Style_2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4000000">
      <w:pPr>
        <w:widowControl w:val="0"/>
        <w:spacing w:after="0" w:before="0" w:line="0" w:lineRule="atLeast"/>
        <w:ind w:firstLine="283" w:left="0" w:right="0"/>
        <w:jc w:val="both"/>
        <w:rPr>
          <w:rFonts w:ascii="Times New Roman" w:hAnsi="Times New Roman"/>
          <w:sz w:val="24"/>
        </w:rPr>
      </w:pPr>
    </w:p>
    <w:sectPr>
      <w:pgSz w:h="16840" w:orient="portrait" w:w="11907"/>
      <w:pgMar w:bottom="964" w:footer="567" w:header="57" w:left="1077" w:right="567" w:top="1077"/>
      <w:pgNumType w:fmt="decimal"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3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3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3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3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3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2026-07-17T06:46:56Z</dcterms:modified>
</cp:coreProperties>
</file>