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0"/>
        <w:spacing w:after="0" w:before="0" w:line="0" w:lineRule="atLeast"/>
        <w:ind w:firstLine="0" w:left="0" w:right="0"/>
        <w:jc w:val="center"/>
        <w:rPr>
          <w:rFonts w:ascii="Arial" w:hAnsi="Arial"/>
          <w:sz w:val="20"/>
        </w:rPr>
      </w:pPr>
      <w:r>
        <w:rPr>
          <w:rFonts w:ascii="Times New Roman" w:hAnsi="Times New Roman"/>
          <w:b w:val="1"/>
        </w:rPr>
        <w:t xml:space="preserve">Протокол </w:t>
      </w:r>
      <w:r>
        <w:rPr>
          <w:rFonts w:ascii="Times New Roman" w:hAnsi="Times New Roman"/>
          <w:b w:val="1"/>
        </w:rPr>
        <w:br/>
      </w:r>
      <w:r>
        <w:rPr>
          <w:rFonts w:ascii="Times New Roman" w:hAnsi="Times New Roman"/>
          <w:b w:val="1"/>
        </w:rPr>
        <w:t xml:space="preserve">подведения итогов процедуры </w:t>
      </w:r>
      <w:r>
        <w:rPr>
          <w:rFonts w:ascii="Times New Roman" w:hAnsi="Times New Roman"/>
          <w:b w:val="1"/>
        </w:rPr>
        <w:br/>
      </w:r>
      <w:r>
        <w:rPr>
          <w:rFonts w:ascii="Times New Roman" w:hAnsi="Times New Roman"/>
          <w:b w:val="1"/>
        </w:rPr>
        <w:t>21000011530000000040, лот № 1</w:t>
      </w:r>
    </w:p>
    <w:p w14:paraId="02000000">
      <w:pPr>
        <w:widowControl w:val="0"/>
        <w:spacing w:after="0" w:before="0" w:line="0" w:lineRule="atLeast"/>
        <w:ind w:firstLine="0" w:left="0" w:right="0"/>
        <w:jc w:val="center"/>
        <w:rPr>
          <w:rFonts w:ascii="Arial" w:hAnsi="Arial"/>
          <w:sz w:val="20"/>
        </w:rPr>
      </w:pPr>
    </w:p>
    <w:tbl>
      <w:tblPr>
        <w:tblStyle w:val="Style_1"/>
        <w:tblInd w:type="dxa" w:w="136"/>
        <w:tblLayout w:type="fixed"/>
        <w:tblCellMar>
          <w:left w:type="dxa" w:w="100"/>
          <w:right w:type="dxa" w:w="100"/>
        </w:tblCellMar>
      </w:tblPr>
      <w:tblGrid>
        <w:gridCol w:w="5046"/>
        <w:gridCol w:w="5081"/>
      </w:tblGrid>
      <w:tr>
        <w:trPr>
          <w:trHeight w:hRule="atLeast" w:val="100"/>
        </w:trPr>
        <w:tc>
          <w:tcPr>
            <w:tcW w:type="dxa" w:w="5046"/>
            <w:tcMar>
              <w:left w:type="dxa" w:w="100"/>
              <w:right w:type="dxa" w:w="100"/>
            </w:tcMar>
            <w:vAlign w:val="top"/>
          </w:tcPr>
          <w:p w14:paraId="03000000">
            <w:pPr>
              <w:widowControl w:val="0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Самарская область</w:t>
            </w:r>
          </w:p>
          <w:p w14:paraId="04000000">
            <w:pPr>
              <w:widowControl w:val="0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Алексеевский район</w:t>
            </w:r>
          </w:p>
          <w:p w14:paraId="05000000">
            <w:pPr>
              <w:widowControl w:val="0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с. Алексеевка</w:t>
            </w:r>
          </w:p>
        </w:tc>
        <w:tc>
          <w:tcPr>
            <w:tcW w:type="dxa" w:w="5081"/>
            <w:tcMar>
              <w:left w:type="dxa" w:w="100"/>
              <w:right w:type="dxa" w:w="100"/>
            </w:tcMar>
            <w:vAlign w:val="top"/>
          </w:tcPr>
          <w:p w14:paraId="06000000">
            <w:pPr>
              <w:widowControl w:val="0"/>
              <w:ind/>
              <w:jc w:val="right"/>
              <w:rPr>
                <w:rFonts w:ascii="Times New Roman" w:hAnsi="Times New Roman"/>
                <w:sz w:val="24"/>
              </w:rPr>
            </w:pPr>
          </w:p>
          <w:p w14:paraId="07000000">
            <w:pPr>
              <w:widowControl w:val="0"/>
              <w:ind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«08» ноября 2024 г.</w:t>
            </w:r>
          </w:p>
        </w:tc>
      </w:tr>
    </w:tbl>
    <w:p w14:paraId="08000000">
      <w:pPr>
        <w:widowControl w:val="0"/>
        <w:spacing w:after="0" w:before="0" w:line="0" w:lineRule="atLeast"/>
        <w:ind w:firstLine="567" w:left="0" w:right="0"/>
        <w:jc w:val="both"/>
        <w:rPr>
          <w:rFonts w:ascii="Arial" w:hAnsi="Arial"/>
          <w:sz w:val="20"/>
        </w:rPr>
      </w:pPr>
    </w:p>
    <w:p w14:paraId="09000000">
      <w:pPr>
        <w:widowControl w:val="0"/>
        <w:spacing w:after="0" w:before="0" w:line="0" w:lineRule="atLeast"/>
        <w:ind w:firstLine="283" w:left="0" w:right="0"/>
        <w:jc w:val="both"/>
        <w:rPr>
          <w:rFonts w:ascii="Arial" w:hAnsi="Arial"/>
          <w:sz w:val="20"/>
        </w:rPr>
      </w:pPr>
      <w:r>
        <w:rPr>
          <w:rFonts w:ascii="Times New Roman" w:hAnsi="Times New Roman"/>
        </w:rPr>
        <w:t>Продавцом является: МУНИЦИПАЛЬНОЕ КАЗЕННОЕ УЧРЕЖДЕНИЕ «КОМИТЕТ ПО УПРАВЛЕНИЮ МУНИЦИПАЛЬНЫМ ИМУЩЕСТВОМ АДМИНИСТРАЦИИ МУНИЦИПАЛЬНОГО РАЙОНА АЛЕКСЕЕВСКИЙ САМАРСКОЙ ОБЛАСТИ</w:t>
      </w:r>
      <w:r>
        <w:rPr>
          <w:rFonts w:ascii="Times New Roman" w:hAnsi="Times New Roman"/>
        </w:rPr>
        <w:t>».</w:t>
      </w:r>
    </w:p>
    <w:p w14:paraId="0A000000">
      <w:pPr>
        <w:widowControl w:val="0"/>
        <w:spacing w:after="0" w:before="0" w:line="0" w:lineRule="atLeast"/>
        <w:ind w:firstLine="283" w:left="0" w:right="0"/>
        <w:jc w:val="both"/>
        <w:rPr>
          <w:rFonts w:ascii="Arial" w:hAnsi="Arial"/>
          <w:sz w:val="20"/>
        </w:rPr>
      </w:pPr>
    </w:p>
    <w:p w14:paraId="0B000000">
      <w:pPr>
        <w:widowControl w:val="0"/>
        <w:spacing w:after="0" w:before="0" w:line="0" w:lineRule="atLeast"/>
        <w:ind w:firstLine="283" w:left="0" w:right="0"/>
        <w:jc w:val="both"/>
        <w:rPr>
          <w:rFonts w:ascii="Arial" w:hAnsi="Arial"/>
          <w:sz w:val="20"/>
        </w:rPr>
      </w:pPr>
      <w:r>
        <w:rPr>
          <w:rFonts w:ascii="Times New Roman" w:hAnsi="Times New Roman"/>
          <w:b w:val="1"/>
        </w:rPr>
        <w:t>1. Наименование процедуры:</w:t>
      </w:r>
    </w:p>
    <w:p w14:paraId="0C000000">
      <w:pPr>
        <w:widowControl w:val="0"/>
        <w:spacing w:after="0" w:before="0" w:line="0" w:lineRule="atLeast"/>
        <w:ind w:firstLine="283" w:left="0" w:right="0"/>
        <w:jc w:val="both"/>
        <w:rPr>
          <w:rFonts w:ascii="Arial" w:hAnsi="Arial"/>
          <w:sz w:val="20"/>
        </w:rPr>
      </w:pPr>
      <w:r>
        <w:rPr>
          <w:rFonts w:ascii="Times New Roman" w:hAnsi="Times New Roman"/>
          <w:b w:val="0"/>
        </w:rPr>
        <w:t>Продажа муниципального имущества.</w:t>
      </w:r>
    </w:p>
    <w:p w14:paraId="0D000000">
      <w:pPr>
        <w:widowControl w:val="0"/>
        <w:spacing w:after="0" w:before="0" w:line="0" w:lineRule="atLeast"/>
        <w:ind w:firstLine="283" w:left="0" w:right="0"/>
        <w:jc w:val="both"/>
        <w:rPr>
          <w:rFonts w:ascii="Arial" w:hAnsi="Arial"/>
          <w:sz w:val="20"/>
        </w:rPr>
      </w:pPr>
    </w:p>
    <w:p w14:paraId="0E000000">
      <w:pPr>
        <w:widowControl w:val="0"/>
        <w:spacing w:after="0" w:before="0" w:line="0" w:lineRule="atLeast"/>
        <w:ind w:firstLine="283" w:left="0" w:right="0"/>
        <w:jc w:val="both"/>
        <w:rPr>
          <w:rFonts w:ascii="Arial" w:hAnsi="Arial"/>
          <w:sz w:val="20"/>
        </w:rPr>
      </w:pPr>
      <w:r>
        <w:rPr>
          <w:rFonts w:ascii="Times New Roman" w:hAnsi="Times New Roman"/>
          <w:b w:val="1"/>
        </w:rPr>
        <w:t>2. Предмета договора:</w:t>
      </w:r>
    </w:p>
    <w:p w14:paraId="0F000000">
      <w:pPr>
        <w:widowControl w:val="0"/>
        <w:spacing w:after="0" w:before="0" w:line="0" w:lineRule="atLeast"/>
        <w:ind w:firstLine="283" w:left="0" w:right="0"/>
        <w:jc w:val="both"/>
        <w:rPr>
          <w:rFonts w:ascii="Arial" w:hAnsi="Arial"/>
          <w:sz w:val="20"/>
        </w:rPr>
      </w:pPr>
      <w:r>
        <w:rPr>
          <w:rFonts w:ascii="Times New Roman" w:hAnsi="Times New Roman"/>
          <w:b w:val="0"/>
        </w:rPr>
        <w:t>Автомобиль марки НИССАН ТЕАНА.</w:t>
      </w:r>
    </w:p>
    <w:p w14:paraId="10000000">
      <w:pPr>
        <w:widowControl w:val="0"/>
        <w:spacing w:after="0" w:before="0" w:line="0" w:lineRule="atLeast"/>
        <w:ind w:firstLine="283" w:left="0" w:right="0"/>
        <w:jc w:val="both"/>
        <w:rPr>
          <w:rFonts w:ascii="Arial" w:hAnsi="Arial"/>
          <w:sz w:val="20"/>
        </w:rPr>
      </w:pPr>
    </w:p>
    <w:p w14:paraId="11000000">
      <w:pPr>
        <w:widowControl w:val="0"/>
        <w:spacing w:after="0" w:before="0" w:line="0" w:lineRule="atLeast"/>
        <w:ind w:firstLine="283" w:left="0" w:right="0"/>
        <w:jc w:val="both"/>
        <w:rPr>
          <w:rFonts w:ascii="Arial" w:hAnsi="Arial"/>
          <w:sz w:val="20"/>
        </w:rPr>
      </w:pPr>
      <w:r>
        <w:rPr>
          <w:rFonts w:ascii="Times New Roman" w:hAnsi="Times New Roman"/>
          <w:b w:val="1"/>
        </w:rPr>
        <w:t>3. Начальная цена договора:</w:t>
      </w:r>
    </w:p>
    <w:p w14:paraId="12000000">
      <w:pPr>
        <w:widowControl w:val="0"/>
        <w:spacing w:after="0" w:before="0" w:line="0" w:lineRule="atLeast"/>
        <w:ind w:firstLine="283" w:left="0" w:right="0"/>
        <w:jc w:val="both"/>
        <w:rPr>
          <w:rFonts w:ascii="Arial" w:hAnsi="Arial"/>
          <w:sz w:val="20"/>
        </w:rPr>
      </w:pPr>
      <w:r>
        <w:rPr>
          <w:rFonts w:ascii="Times New Roman" w:hAnsi="Times New Roman"/>
          <w:b w:val="0"/>
        </w:rPr>
        <w:t>1 000 000 RUB. НДС не облагается</w:t>
      </w:r>
      <w:r>
        <w:rPr>
          <w:rFonts w:ascii="Arial" w:hAnsi="Arial"/>
          <w:sz w:val="20"/>
        </w:rPr>
        <w:t>.</w:t>
      </w:r>
    </w:p>
    <w:p w14:paraId="13000000">
      <w:pPr>
        <w:widowControl w:val="0"/>
        <w:spacing w:after="0" w:before="0" w:line="0" w:lineRule="atLeast"/>
        <w:ind w:firstLine="283" w:left="0" w:right="0"/>
        <w:jc w:val="both"/>
        <w:rPr>
          <w:rFonts w:ascii="Arial" w:hAnsi="Arial"/>
          <w:sz w:val="20"/>
        </w:rPr>
      </w:pPr>
    </w:p>
    <w:p w14:paraId="14000000">
      <w:pPr>
        <w:widowControl w:val="0"/>
        <w:spacing w:after="0" w:before="0" w:line="0" w:lineRule="atLeast"/>
        <w:ind w:firstLine="283" w:left="0" w:right="0"/>
        <w:jc w:val="both"/>
        <w:rPr>
          <w:rFonts w:ascii="Arial" w:hAnsi="Arial"/>
          <w:sz w:val="20"/>
        </w:rPr>
      </w:pPr>
      <w:r>
        <w:rPr>
          <w:rFonts w:ascii="Times New Roman" w:hAnsi="Times New Roman"/>
        </w:rPr>
        <w:t xml:space="preserve">4. Извещение и документация о проведении настоящей процедуры были размещены «11» октября 2024 года на сайте Единой электронной торговой площадки (АО «ЕЭТП») в сети «Интернет» по адресу: </w:t>
      </w:r>
      <w:r>
        <w:rPr>
          <w:rStyle w:val="Style_2_ch"/>
          <w:rFonts w:ascii="Times New Roman" w:hAnsi="Times New Roman"/>
        </w:rPr>
        <w:fldChar w:fldCharType="begin"/>
      </w:r>
      <w:r>
        <w:rPr>
          <w:rStyle w:val="Style_2_ch"/>
          <w:rFonts w:ascii="Times New Roman" w:hAnsi="Times New Roman"/>
        </w:rPr>
        <w:instrText>HYPERLINK "http://178fz.roseltorg.ru"</w:instrText>
      </w:r>
      <w:r>
        <w:rPr>
          <w:rStyle w:val="Style_2_ch"/>
          <w:rFonts w:ascii="Times New Roman" w:hAnsi="Times New Roman"/>
        </w:rPr>
        <w:fldChar w:fldCharType="separate"/>
      </w:r>
      <w:r>
        <w:rPr>
          <w:rStyle w:val="Style_2_ch"/>
          <w:rFonts w:ascii="Times New Roman" w:hAnsi="Times New Roman"/>
        </w:rPr>
        <w:t>http://178fz.roseltorg.ru</w:t>
      </w:r>
      <w:r>
        <w:rPr>
          <w:rStyle w:val="Style_2_ch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>.</w:t>
      </w:r>
    </w:p>
    <w:p w14:paraId="15000000">
      <w:pPr>
        <w:widowControl w:val="0"/>
        <w:spacing w:after="0" w:before="0" w:line="0" w:lineRule="atLeast"/>
        <w:ind w:firstLine="283" w:left="0" w:right="0"/>
        <w:jc w:val="both"/>
        <w:rPr>
          <w:rFonts w:ascii="Arial" w:hAnsi="Arial"/>
          <w:sz w:val="20"/>
        </w:rPr>
      </w:pPr>
    </w:p>
    <w:p w14:paraId="16000000">
      <w:pPr>
        <w:widowControl w:val="0"/>
        <w:spacing w:after="0" w:before="0" w:line="0" w:lineRule="atLeast"/>
        <w:ind w:firstLine="283" w:left="0" w:right="0"/>
        <w:jc w:val="both"/>
        <w:rPr>
          <w:rFonts w:ascii="Arial" w:hAnsi="Arial"/>
          <w:sz w:val="20"/>
        </w:rPr>
      </w:pPr>
      <w:r>
        <w:rPr>
          <w:rFonts w:ascii="Times New Roman" w:hAnsi="Times New Roman"/>
        </w:rPr>
        <w:t>5. Процедура 21000011530000000040, лот № 1 признана несостоявшейся, так как до окончания приема заявок не было подано ни одной заявки на участие.</w:t>
      </w:r>
    </w:p>
    <w:p w14:paraId="17000000">
      <w:pPr>
        <w:widowControl w:val="0"/>
        <w:spacing w:after="0" w:before="0" w:line="0" w:lineRule="atLeast"/>
        <w:ind w:firstLine="283" w:left="0" w:right="0"/>
        <w:jc w:val="both"/>
        <w:rPr>
          <w:rFonts w:ascii="Arial" w:hAnsi="Arial"/>
          <w:sz w:val="20"/>
        </w:rPr>
      </w:pPr>
    </w:p>
    <w:p w14:paraId="18000000">
      <w:pPr>
        <w:widowControl w:val="0"/>
        <w:spacing w:after="0" w:before="0" w:line="0" w:lineRule="atLeast"/>
        <w:ind w:firstLine="283" w:left="0" w:right="0"/>
        <w:jc w:val="both"/>
        <w:rPr>
          <w:rFonts w:ascii="Arial" w:hAnsi="Arial"/>
          <w:sz w:val="20"/>
        </w:rPr>
      </w:pPr>
      <w:r>
        <w:rPr>
          <w:rFonts w:ascii="Times New Roman" w:hAnsi="Times New Roman"/>
        </w:rPr>
        <w:t xml:space="preserve">6. Протокол подведения итогов будет размещен на сайте Единой электронной торговой площадки </w:t>
      </w:r>
      <w:r>
        <w:rPr>
          <w:rFonts w:ascii="Times New Roman" w:hAnsi="Times New Roman"/>
        </w:rPr>
        <w:t>(АО «ЕЭТП»)</w:t>
      </w:r>
      <w:r>
        <w:rPr>
          <w:rFonts w:ascii="Times New Roman" w:hAnsi="Times New Roman"/>
        </w:rPr>
        <w:t xml:space="preserve"> в сети «Интернет» по адресу: </w:t>
      </w:r>
      <w:r>
        <w:rPr>
          <w:rStyle w:val="Style_2_ch"/>
          <w:rFonts w:ascii="Times New Roman" w:hAnsi="Times New Roman"/>
        </w:rPr>
        <w:fldChar w:fldCharType="begin"/>
      </w:r>
      <w:r>
        <w:rPr>
          <w:rStyle w:val="Style_2_ch"/>
          <w:rFonts w:ascii="Times New Roman" w:hAnsi="Times New Roman"/>
        </w:rPr>
        <w:instrText>HYPERLINK "http://178fz.roseltorg.ru"</w:instrText>
      </w:r>
      <w:r>
        <w:rPr>
          <w:rStyle w:val="Style_2_ch"/>
          <w:rFonts w:ascii="Times New Roman" w:hAnsi="Times New Roman"/>
        </w:rPr>
        <w:fldChar w:fldCharType="separate"/>
      </w:r>
      <w:r>
        <w:rPr>
          <w:rStyle w:val="Style_2_ch"/>
          <w:rFonts w:ascii="Times New Roman" w:hAnsi="Times New Roman"/>
        </w:rPr>
        <w:t>http://178fz.roseltorg.ru</w:t>
      </w:r>
      <w:r>
        <w:rPr>
          <w:rStyle w:val="Style_2_ch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>.</w:t>
      </w:r>
    </w:p>
    <w:p w14:paraId="19000000">
      <w:pPr>
        <w:widowControl w:val="0"/>
        <w:spacing w:after="0" w:before="0" w:line="0" w:lineRule="atLeast"/>
        <w:ind w:firstLine="567" w:left="0" w:right="0"/>
        <w:jc w:val="both"/>
        <w:rPr>
          <w:rFonts w:ascii="Arial" w:hAnsi="Arial"/>
          <w:sz w:val="20"/>
        </w:rPr>
      </w:pPr>
    </w:p>
    <w:tbl>
      <w:tblPr>
        <w:tblInd w:type="dxa" w:w="136"/>
        <w:tblLayout w:type="fixed"/>
        <w:tblCellMar>
          <w:top w:type="dxa" w:w="0"/>
          <w:left w:type="dxa" w:w="100"/>
          <w:bottom w:type="dxa" w:w="0"/>
          <w:right w:type="dxa" w:w="100"/>
        </w:tblCellMar>
      </w:tblPr>
      <w:tblGrid>
        <w:gridCol w:w="3352"/>
        <w:gridCol w:w="3388"/>
        <w:gridCol w:w="3388"/>
      </w:tblGrid>
      <w:tr>
        <w:trPr>
          <w:trHeight w:hRule="atLeast" w:val="567"/>
        </w:trPr>
        <w:tc>
          <w:tcPr>
            <w:tcW w:type="dxa" w:w="10127"/>
            <w:gridSpan w:val="3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 w14:paraId="1A000000">
            <w:pPr>
              <w:widowControl w:val="0"/>
              <w:ind/>
              <w:jc w:val="left"/>
              <w:rPr>
                <w:rFonts w:ascii="Arial" w:hAnsi="Arial"/>
                <w:b w:val="0"/>
                <w:sz w:val="20"/>
              </w:rPr>
            </w:pPr>
            <w:r>
              <w:rPr>
                <w:rFonts w:ascii="Times New Roman" w:hAnsi="Times New Roman"/>
                <w:b w:val="1"/>
              </w:rPr>
              <w:t>Члены комиссии, присутствующие на заседании:</w:t>
            </w:r>
          </w:p>
        </w:tc>
      </w:tr>
      <w:tr>
        <w:trPr>
          <w:trHeight w:hRule="atLeast" w:val="567"/>
        </w:trPr>
        <w:tc>
          <w:tcPr>
            <w:tcW w:type="dxa" w:w="3352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 w14:paraId="1B000000">
            <w:pPr>
              <w:widowControl w:val="0"/>
              <w:ind/>
              <w:jc w:val="left"/>
              <w:rPr>
                <w:rFonts w:ascii="Arial" w:hAnsi="Arial"/>
                <w:b w:val="0"/>
                <w:sz w:val="20"/>
              </w:rPr>
            </w:pPr>
            <w:r>
              <w:rPr>
                <w:rFonts w:ascii="Times New Roman" w:hAnsi="Times New Roman"/>
                <w:b w:val="1"/>
              </w:rPr>
              <w:t>Председатель комиссии:</w:t>
            </w:r>
          </w:p>
        </w:tc>
        <w:tc>
          <w:tcPr>
            <w:tcW w:type="dxa" w:w="3388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 w14:paraId="1C000000">
            <w:pPr>
              <w:widowControl w:val="0"/>
              <w:ind/>
              <w:jc w:val="left"/>
              <w:rPr>
                <w:rFonts w:ascii="Arial" w:hAnsi="Arial"/>
                <w:b w:val="0"/>
                <w:sz w:val="20"/>
              </w:rPr>
            </w:pPr>
            <w:r>
              <w:rPr>
                <w:rFonts w:ascii="Arial" w:hAnsi="Arial"/>
                <w:b w:val="0"/>
                <w:sz w:val="20"/>
              </w:rPr>
              <w:t>__________________________</w:t>
            </w:r>
          </w:p>
        </w:tc>
        <w:tc>
          <w:tcPr>
            <w:tcW w:type="dxa" w:w="3388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 w14:paraId="1D000000">
            <w:pPr>
              <w:widowControl w:val="0"/>
              <w:ind/>
              <w:jc w:val="left"/>
              <w:rPr>
                <w:rFonts w:ascii="Arial" w:hAnsi="Arial"/>
                <w:b w:val="0"/>
                <w:sz w:val="20"/>
              </w:rPr>
            </w:pPr>
            <w:r>
              <w:rPr>
                <w:rFonts w:ascii="Times New Roman" w:hAnsi="Times New Roman"/>
                <w:b w:val="1"/>
              </w:rPr>
              <w:t>/Нефедов Сергей Николаевич/</w:t>
            </w:r>
          </w:p>
        </w:tc>
      </w:tr>
      <w:tr>
        <w:trPr>
          <w:trHeight w:hRule="atLeast" w:val="567"/>
        </w:trPr>
        <w:tc>
          <w:tcPr>
            <w:tcW w:type="dxa" w:w="3352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 w14:paraId="1E000000">
            <w:pPr>
              <w:widowControl w:val="0"/>
              <w:ind/>
              <w:jc w:val="left"/>
              <w:rPr>
                <w:rFonts w:ascii="Arial" w:hAnsi="Arial"/>
                <w:b w:val="0"/>
                <w:sz w:val="20"/>
              </w:rPr>
            </w:pPr>
            <w:r>
              <w:rPr>
                <w:rFonts w:ascii="Times New Roman" w:hAnsi="Times New Roman"/>
                <w:b w:val="1"/>
              </w:rPr>
              <w:t>Член комиссии:</w:t>
            </w:r>
          </w:p>
        </w:tc>
        <w:tc>
          <w:tcPr>
            <w:tcW w:type="dxa" w:w="3388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 w14:paraId="1F000000">
            <w:pPr>
              <w:widowControl w:val="0"/>
              <w:ind/>
              <w:jc w:val="left"/>
              <w:rPr>
                <w:rFonts w:ascii="Arial" w:hAnsi="Arial"/>
                <w:b w:val="0"/>
                <w:sz w:val="20"/>
              </w:rPr>
            </w:pPr>
            <w:r>
              <w:rPr>
                <w:rFonts w:ascii="Arial" w:hAnsi="Arial"/>
                <w:b w:val="0"/>
                <w:sz w:val="20"/>
              </w:rPr>
              <w:t>__________________________</w:t>
            </w:r>
          </w:p>
        </w:tc>
        <w:tc>
          <w:tcPr>
            <w:tcW w:type="dxa" w:w="3388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 w14:paraId="20000000">
            <w:pPr>
              <w:widowControl w:val="0"/>
              <w:ind/>
              <w:jc w:val="left"/>
              <w:rPr>
                <w:rFonts w:ascii="Arial" w:hAnsi="Arial"/>
                <w:b w:val="0"/>
                <w:sz w:val="20"/>
              </w:rPr>
            </w:pPr>
            <w:r>
              <w:rPr>
                <w:rFonts w:ascii="Times New Roman" w:hAnsi="Times New Roman"/>
                <w:b w:val="1"/>
              </w:rPr>
              <w:t>/Анисимова Ирина Викторовна/</w:t>
            </w:r>
          </w:p>
        </w:tc>
      </w:tr>
      <w:tr>
        <w:trPr>
          <w:trHeight w:hRule="atLeast" w:val="567"/>
        </w:trPr>
        <w:tc>
          <w:tcPr>
            <w:tcW w:type="dxa" w:w="3352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 w14:paraId="21000000">
            <w:pPr>
              <w:widowControl w:val="0"/>
              <w:ind/>
              <w:jc w:val="left"/>
              <w:rPr>
                <w:rFonts w:ascii="Arial" w:hAnsi="Arial"/>
                <w:b w:val="0"/>
                <w:sz w:val="20"/>
              </w:rPr>
            </w:pPr>
            <w:r>
              <w:rPr>
                <w:rFonts w:ascii="Times New Roman" w:hAnsi="Times New Roman"/>
                <w:b w:val="1"/>
              </w:rPr>
              <w:t>Член комиссии:</w:t>
            </w:r>
          </w:p>
        </w:tc>
        <w:tc>
          <w:tcPr>
            <w:tcW w:type="dxa" w:w="3388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 w14:paraId="22000000">
            <w:pPr>
              <w:widowControl w:val="0"/>
              <w:ind/>
              <w:jc w:val="left"/>
              <w:rPr>
                <w:rFonts w:ascii="Arial" w:hAnsi="Arial"/>
                <w:b w:val="0"/>
                <w:sz w:val="20"/>
              </w:rPr>
            </w:pPr>
            <w:r>
              <w:rPr>
                <w:rFonts w:ascii="Arial" w:hAnsi="Arial"/>
                <w:b w:val="0"/>
                <w:sz w:val="20"/>
              </w:rPr>
              <w:t>__________________________</w:t>
            </w:r>
          </w:p>
        </w:tc>
        <w:tc>
          <w:tcPr>
            <w:tcW w:type="dxa" w:w="3388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 w14:paraId="23000000">
            <w:pPr>
              <w:widowControl w:val="0"/>
              <w:ind/>
              <w:jc w:val="left"/>
              <w:rPr>
                <w:rFonts w:ascii="Arial" w:hAnsi="Arial"/>
                <w:b w:val="0"/>
                <w:sz w:val="20"/>
              </w:rPr>
            </w:pPr>
            <w:r>
              <w:rPr>
                <w:rFonts w:ascii="Times New Roman" w:hAnsi="Times New Roman"/>
                <w:b w:val="1"/>
              </w:rPr>
              <w:t>/Лобанкова Людмила Викторовна/</w:t>
            </w:r>
          </w:p>
        </w:tc>
      </w:tr>
      <w:tr>
        <w:trPr>
          <w:trHeight w:hRule="atLeast" w:val="567"/>
        </w:trPr>
        <w:tc>
          <w:tcPr>
            <w:tcW w:type="dxa" w:w="3352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 w14:paraId="24000000">
            <w:pPr>
              <w:widowControl w:val="0"/>
              <w:ind/>
              <w:jc w:val="left"/>
              <w:rPr>
                <w:rFonts w:ascii="Arial" w:hAnsi="Arial"/>
                <w:b w:val="0"/>
                <w:sz w:val="20"/>
              </w:rPr>
            </w:pPr>
            <w:r>
              <w:rPr>
                <w:rFonts w:ascii="Times New Roman" w:hAnsi="Times New Roman"/>
                <w:b w:val="1"/>
              </w:rPr>
              <w:t>Член комиссии:</w:t>
            </w:r>
          </w:p>
        </w:tc>
        <w:tc>
          <w:tcPr>
            <w:tcW w:type="dxa" w:w="3388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 w14:paraId="25000000">
            <w:pPr>
              <w:widowControl w:val="0"/>
              <w:ind/>
              <w:jc w:val="left"/>
              <w:rPr>
                <w:rFonts w:ascii="Arial" w:hAnsi="Arial"/>
                <w:b w:val="0"/>
                <w:sz w:val="20"/>
              </w:rPr>
            </w:pPr>
            <w:r>
              <w:rPr>
                <w:rFonts w:ascii="Arial" w:hAnsi="Arial"/>
                <w:b w:val="0"/>
                <w:sz w:val="20"/>
              </w:rPr>
              <w:t>__________________________</w:t>
            </w:r>
          </w:p>
        </w:tc>
        <w:tc>
          <w:tcPr>
            <w:tcW w:type="dxa" w:w="3388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 w14:paraId="26000000">
            <w:pPr>
              <w:widowControl w:val="0"/>
              <w:ind/>
              <w:jc w:val="left"/>
              <w:rPr>
                <w:rFonts w:ascii="Arial" w:hAnsi="Arial"/>
                <w:b w:val="0"/>
                <w:sz w:val="20"/>
              </w:rPr>
            </w:pPr>
            <w:r>
              <w:rPr>
                <w:rFonts w:ascii="Times New Roman" w:hAnsi="Times New Roman"/>
                <w:b w:val="1"/>
              </w:rPr>
              <w:t>/Шишова Оксана Евгеньевна/</w:t>
            </w:r>
          </w:p>
        </w:tc>
      </w:tr>
    </w:tbl>
    <w:p w14:paraId="27000000">
      <w:pPr>
        <w:widowControl w:val="0"/>
        <w:spacing w:after="0" w:before="0" w:line="0" w:lineRule="atLeast"/>
        <w:ind w:firstLine="567" w:left="0" w:right="0"/>
        <w:jc w:val="both"/>
        <w:rPr>
          <w:rFonts w:ascii="Arial" w:hAnsi="Arial"/>
          <w:sz w:val="20"/>
        </w:rPr>
      </w:pPr>
    </w:p>
    <w:sectPr>
      <w:pgSz w:h="16840" w:orient="portrait" w:w="11907"/>
      <w:pgMar w:bottom="964" w:footer="567" w:header="57" w:left="1077" w:right="567" w:top="1077"/>
      <w:pgNumType w:fmt="decimal" w:start="1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rPr>
      <w:sz w:val="24"/>
    </w:rPr>
  </w:style>
  <w:style w:default="1" w:styleId="Style_3_ch" w:type="character">
    <w:name w:val="Normal"/>
    <w:link w:val="Style_3"/>
    <w:rPr>
      <w:sz w:val="24"/>
    </w:rPr>
  </w:style>
  <w:style w:styleId="Style_4" w:type="paragraph">
    <w:name w:val="toc 2"/>
    <w:next w:val="Style_3"/>
    <w:link w:val="Style_4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3"/>
    <w:link w:val="Style_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3"/>
    <w:link w:val="Style_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3"/>
    <w:link w:val="Style_7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heading 3"/>
    <w:next w:val="Style_3"/>
    <w:link w:val="Style_8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Default Paragraph Font"/>
    <w:link w:val="Style_9_ch"/>
  </w:style>
  <w:style w:styleId="Style_9_ch" w:type="character">
    <w:name w:val="Default Paragraph Font"/>
    <w:link w:val="Style_9"/>
  </w:style>
  <w:style w:styleId="Style_10" w:type="paragraph">
    <w:name w:val="toc 3"/>
    <w:next w:val="Style_3"/>
    <w:link w:val="Style_10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heading 5"/>
    <w:next w:val="Style_3"/>
    <w:link w:val="Style_11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heading 1"/>
    <w:next w:val="Style_3"/>
    <w:link w:val="Style_12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2_ch" w:type="character">
    <w:name w:val="heading 1"/>
    <w:link w:val="Style_12"/>
    <w:rPr>
      <w:rFonts w:ascii="XO Thames" w:hAnsi="XO Thames"/>
      <w:b w:val="1"/>
      <w:sz w:val="32"/>
    </w:rPr>
  </w:style>
  <w:style w:styleId="Style_2" w:type="paragraph">
    <w:name w:val="Hyperlink"/>
    <w:link w:val="Style_2_ch"/>
    <w:rPr>
      <w:color w:val="0000FF"/>
      <w:u w:val="single"/>
    </w:rPr>
  </w:style>
  <w:style w:styleId="Style_2_ch" w:type="character">
    <w:name w:val="Hyperlink"/>
    <w:link w:val="Style_2"/>
    <w:rPr>
      <w:color w:val="0000FF"/>
      <w:u w:val="single"/>
    </w:rPr>
  </w:style>
  <w:style w:styleId="Style_13" w:type="paragraph">
    <w:name w:val="Footnote"/>
    <w:link w:val="Style_13_ch"/>
    <w:pPr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3"/>
    <w:link w:val="Style_14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spacing w:line="240" w:lineRule="auto"/>
      <w:ind/>
      <w:jc w:val="both"/>
    </w:pPr>
    <w:rPr>
      <w:rFonts w:ascii="XO Thames" w:hAnsi="XO Thames"/>
      <w:sz w:val="20"/>
    </w:rPr>
  </w:style>
  <w:style w:styleId="Style_15_ch" w:type="character">
    <w:name w:val="Header and Footer"/>
    <w:link w:val="Style_15"/>
    <w:rPr>
      <w:rFonts w:ascii="XO Thames" w:hAnsi="XO Thames"/>
      <w:sz w:val="20"/>
    </w:rPr>
  </w:style>
  <w:style w:styleId="Style_16" w:type="paragraph">
    <w:name w:val="toc 9"/>
    <w:next w:val="Style_3"/>
    <w:link w:val="Style_16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6_ch" w:type="character">
    <w:name w:val="toc 9"/>
    <w:link w:val="Style_16"/>
    <w:rPr>
      <w:rFonts w:ascii="XO Thames" w:hAnsi="XO Thames"/>
      <w:sz w:val="28"/>
    </w:rPr>
  </w:style>
  <w:style w:styleId="Style_17" w:type="paragraph">
    <w:name w:val="toc 8"/>
    <w:next w:val="Style_3"/>
    <w:link w:val="Style_17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7_ch" w:type="character">
    <w:name w:val="toc 8"/>
    <w:link w:val="Style_17"/>
    <w:rPr>
      <w:rFonts w:ascii="XO Thames" w:hAnsi="XO Thames"/>
      <w:sz w:val="28"/>
    </w:rPr>
  </w:style>
  <w:style w:styleId="Style_18" w:type="paragraph">
    <w:name w:val="toc 5"/>
    <w:next w:val="Style_3"/>
    <w:link w:val="Style_18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8_ch" w:type="character">
    <w:name w:val="toc 5"/>
    <w:link w:val="Style_18"/>
    <w:rPr>
      <w:rFonts w:ascii="XO Thames" w:hAnsi="XO Thames"/>
      <w:sz w:val="28"/>
    </w:rPr>
  </w:style>
  <w:style w:styleId="Style_19" w:type="paragraph">
    <w:name w:val="Subtitle"/>
    <w:next w:val="Style_3"/>
    <w:link w:val="Style_19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9_ch" w:type="character">
    <w:name w:val="Subtitle"/>
    <w:link w:val="Style_19"/>
    <w:rPr>
      <w:rFonts w:ascii="XO Thames" w:hAnsi="XO Thames"/>
      <w:i w:val="1"/>
      <w:sz w:val="24"/>
    </w:rPr>
  </w:style>
  <w:style w:styleId="Style_20" w:type="paragraph">
    <w:name w:val="Title"/>
    <w:next w:val="Style_3"/>
    <w:link w:val="Style_20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0_ch" w:type="character">
    <w:name w:val="Title"/>
    <w:link w:val="Style_20"/>
    <w:rPr>
      <w:rFonts w:ascii="XO Thames" w:hAnsi="XO Thames"/>
      <w:b w:val="1"/>
      <w:caps w:val="1"/>
      <w:sz w:val="40"/>
    </w:rPr>
  </w:style>
  <w:style w:styleId="Style_21" w:type="paragraph">
    <w:name w:val="heading 4"/>
    <w:next w:val="Style_3"/>
    <w:link w:val="Style_21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1_ch" w:type="character">
    <w:name w:val="heading 4"/>
    <w:link w:val="Style_21"/>
    <w:rPr>
      <w:rFonts w:ascii="XO Thames" w:hAnsi="XO Thames"/>
      <w:b w:val="1"/>
      <w:sz w:val="24"/>
    </w:rPr>
  </w:style>
  <w:style w:styleId="Style_22" w:type="paragraph">
    <w:name w:val="heading 2"/>
    <w:next w:val="Style_3"/>
    <w:link w:val="Style_22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2_ch" w:type="character">
    <w:name w:val="heading 2"/>
    <w:link w:val="Style_22"/>
    <w:rPr>
      <w:rFonts w:ascii="XO Thames" w:hAnsi="XO Thames"/>
      <w:b w:val="1"/>
      <w:sz w:val="28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MyOffice-CoreFramework-Windows/26-1013.725.7203.647.3@RELEASE-DESKTOP-YERBA-RC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2024-11-08T06:43:31Z</dcterms:modified>
</cp:coreProperties>
</file>