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3 000</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w:t>
      </w:r>
      <w:r>
        <w:rPr>
          <w:b w:val="1"/>
          <w:sz w:val="24"/>
        </w:rPr>
        <w:t>с.</w:t>
      </w:r>
      <w:r>
        <w:rPr>
          <w:b w:val="1"/>
          <w:sz w:val="24"/>
        </w:rPr>
        <w:t xml:space="preserve"> Несмеяновка, </w:t>
      </w:r>
      <w:r>
        <w:rPr>
          <w:b w:val="1"/>
          <w:sz w:val="24"/>
        </w:rPr>
        <w:t>ул. Советская, ка</w:t>
      </w:r>
      <w:r>
        <w:rPr>
          <w:b w:val="1"/>
          <w:sz w:val="24"/>
        </w:rPr>
        <w:t>дастровый номер: 63:11:0303003</w:t>
      </w:r>
      <w:r>
        <w:rPr>
          <w:b w:val="1"/>
          <w:sz w:val="24"/>
        </w:rPr>
        <w:t>:338</w:t>
      </w:r>
      <w:r>
        <w:rPr>
          <w:b w:val="1"/>
          <w:sz w:val="24"/>
        </w:rPr>
        <w:t xml:space="preserve">, </w:t>
      </w:r>
      <w:r>
        <w:rPr>
          <w:b w:val="1"/>
          <w:sz w:val="24"/>
        </w:rPr>
        <w:t>вид</w:t>
      </w:r>
      <w:r>
        <w:rPr>
          <w:b w:val="1"/>
          <w:sz w:val="24"/>
        </w:rPr>
        <w:t xml:space="preserve"> разрешенного использования </w:t>
      </w:r>
      <w:r>
        <w:rPr>
          <w:b w:val="1"/>
          <w:sz w:val="24"/>
        </w:rPr>
        <w:t xml:space="preserve">– </w:t>
      </w:r>
      <w:r>
        <w:rPr>
          <w:rFonts w:ascii="Times New Roman" w:hAnsi="Times New Roman"/>
          <w:b w:val="1"/>
          <w:sz w:val="24"/>
        </w:rPr>
        <w:t>для ведения личного подсобного хозяйства (приусадебный земельный участок)</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28.02.2024 № 35</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Style w:val="Style_1_ch"/>
          <w:rFonts w:ascii="Times New Roman" w:hAnsi="Times New Roman"/>
          <w:sz w:val="24"/>
        </w:rPr>
        <w:fldChar w:fldCharType="begin"/>
      </w:r>
      <w:r>
        <w:rPr>
          <w:rStyle w:val="Style_1_ch"/>
          <w:rFonts w:ascii="Times New Roman" w:hAnsi="Times New Roman"/>
          <w:sz w:val="24"/>
        </w:rPr>
        <w:instrText>HYPERLINK "http://178fz.roseltorg.ru"</w:instrText>
      </w:r>
      <w:r>
        <w:rPr>
          <w:rStyle w:val="Style_1_ch"/>
          <w:rFonts w:ascii="Times New Roman" w:hAnsi="Times New Roman"/>
          <w:sz w:val="24"/>
        </w:rPr>
        <w:fldChar w:fldCharType="separate"/>
      </w:r>
      <w:r>
        <w:rPr>
          <w:rStyle w:val="Style_1_ch"/>
          <w:rFonts w:ascii="Times New Roman" w:hAnsi="Times New Roman"/>
          <w:sz w:val="24"/>
        </w:rPr>
        <w:t>http://178fz.roseltorg.ru</w:t>
      </w:r>
      <w:r>
        <w:rPr>
          <w:rStyle w:val="Style_1_ch"/>
          <w:rFonts w:ascii="Times New Roman" w:hAnsi="Times New Roman"/>
          <w:sz w:val="24"/>
        </w:rPr>
        <w:fldChar w:fldCharType="end"/>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 Несмеяновка, ул. Советская.</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для ведения личного подсобного хозяйства (приусадебный земельный участок).</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63:11:0303003:338.</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Площадь –</w:t>
      </w:r>
      <w:r>
        <w:rPr>
          <w:sz w:val="24"/>
        </w:rPr>
        <w:t>3 000</w:t>
      </w:r>
      <w:r>
        <w:rPr>
          <w:sz w:val="24"/>
        </w:rPr>
        <w:t>,0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37 000 (тридцать семь тысяч) рублей 00 копеек (без учета НДС).</w:t>
      </w:r>
    </w:p>
    <w:p w14:paraId="1A000000">
      <w:pPr>
        <w:ind w:firstLine="283" w:left="0"/>
        <w:jc w:val="both"/>
        <w:rPr>
          <w:b w:val="0"/>
          <w:color w:val="FB290D"/>
          <w:sz w:val="24"/>
        </w:rPr>
      </w:pPr>
      <w:r>
        <w:t>«Шаг аукциона» – 1 110 (одна тысяча сто десять)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37</w:t>
      </w:r>
      <w:r>
        <w:t xml:space="preserve"> 000 (тридцать семь тысяч)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«28» июня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«24» июля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«25» июля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«29» июля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000000"/>
          <w:sz w:val="24"/>
        </w:rPr>
      </w:pPr>
      <w:r>
        <w:rPr>
          <w:color w:val="000000"/>
        </w:rPr>
        <w:t xml:space="preserve">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w:t>
      </w:r>
      <w:r>
        <w:rPr>
          <w:color w:val="000000"/>
        </w:rPr>
        <w:t>проведение предыдущих торгов в отношении вышеуказанного земельного участка было назначено на 07.06.2024 г. в 10-00 местного времени, процедура признана несостоявшейся, так как ни один из участников не сделал ценовое предложение.</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Body Text"/>
    <w:basedOn w:val="Style_2"/>
    <w:link w:val="Style_4_ch"/>
    <w:pPr>
      <w:spacing w:after="120" w:before="0"/>
      <w:ind/>
    </w:pPr>
  </w:style>
  <w:style w:styleId="Style_4_ch" w:type="character">
    <w:name w:val="Body Text"/>
    <w:basedOn w:val="Style_2_ch"/>
    <w:link w:val="Style_4"/>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Absatz-Standardschriftart"/>
    <w:link w:val="Style_8_ch"/>
  </w:style>
  <w:style w:styleId="Style_8_ch" w:type="character">
    <w:name w:val="Absatz-Standardschriftart"/>
    <w:link w:val="Style_8"/>
  </w:style>
  <w:style w:styleId="Style_9" w:type="paragraph">
    <w:name w:val="WW-Absatz-Standardschriftart1"/>
    <w:link w:val="Style_9_ch"/>
  </w:style>
  <w:style w:styleId="Style_9_ch" w:type="character">
    <w:name w:val="WW-Absatz-Standardschriftart1"/>
    <w:link w:val="Style_9"/>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WW-Absatz-Standardschriftart"/>
    <w:link w:val="Style_11_ch"/>
  </w:style>
  <w:style w:styleId="Style_11_ch" w:type="character">
    <w:name w:val="WW-Absatz-Standardschriftart"/>
    <w:link w:val="Style_11"/>
  </w:style>
  <w:style w:styleId="Style_12" w:type="paragraph">
    <w:name w:val="Основной шрифт абзаца1"/>
    <w:link w:val="Style_12_ch"/>
  </w:style>
  <w:style w:styleId="Style_12_ch" w:type="character">
    <w:name w:val="Основной шрифт абзаца1"/>
    <w:link w:val="Style_12"/>
  </w:style>
  <w:style w:styleId="Style_13" w:type="paragraph">
    <w:name w:val="ConsNormal"/>
    <w:link w:val="Style_13_ch"/>
    <w:pPr>
      <w:ind w:firstLine="720" w:left="0"/>
    </w:pPr>
  </w:style>
  <w:style w:styleId="Style_13_ch" w:type="character">
    <w:name w:val="ConsNormal"/>
    <w:link w:val="Style_13"/>
  </w:style>
  <w:style w:styleId="Style_14" w:type="paragraph">
    <w:name w:val="Название1"/>
    <w:basedOn w:val="Style_2"/>
    <w:link w:val="Style_14_ch"/>
    <w:pPr>
      <w:spacing w:after="120" w:before="120"/>
      <w:ind/>
    </w:pPr>
    <w:rPr>
      <w:i w:val="1"/>
      <w:sz w:val="24"/>
    </w:rPr>
  </w:style>
  <w:style w:styleId="Style_14_ch" w:type="character">
    <w:name w:val="Название1"/>
    <w:basedOn w:val="Style_2_ch"/>
    <w:link w:val="Style_14"/>
    <w:rPr>
      <w:i w:val="1"/>
      <w:sz w:val="24"/>
    </w:rPr>
  </w:style>
  <w:style w:styleId="Style_15" w:type="paragraph">
    <w:name w:val="Default Paragraph Font"/>
    <w:link w:val="Style_15_ch"/>
  </w:style>
  <w:style w:styleId="Style_15_ch" w:type="character">
    <w:name w:val="Default Paragraph Font"/>
    <w:link w:val="Style_15"/>
  </w:style>
  <w:style w:styleId="Style_16" w:type="paragraph">
    <w:name w:val="Обычный1"/>
    <w:link w:val="Style_16_ch"/>
    <w:pPr>
      <w:widowControl w:val="0"/>
      <w:ind/>
    </w:pPr>
    <w:rPr>
      <w:sz w:val="28"/>
    </w:rPr>
  </w:style>
  <w:style w:styleId="Style_16_ch" w:type="character">
    <w:name w:val="Обычный1"/>
    <w:link w:val="Style_16"/>
    <w:rPr>
      <w:sz w:val="28"/>
    </w:rPr>
  </w:style>
  <w:style w:styleId="Style_17" w:type="paragraph">
    <w:name w:val="toc 3"/>
    <w:next w:val="Style_2"/>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Содержимое таблицы"/>
    <w:basedOn w:val="Style_2"/>
    <w:link w:val="Style_18_ch"/>
  </w:style>
  <w:style w:styleId="Style_18_ch" w:type="character">
    <w:name w:val="Содержимое таблицы"/>
    <w:basedOn w:val="Style_2_ch"/>
    <w:link w:val="Style_18"/>
  </w:style>
  <w:style w:styleId="Style_19" w:type="paragraph">
    <w:name w:val="Balloon Text"/>
    <w:basedOn w:val="Style_2"/>
    <w:link w:val="Style_19_ch"/>
    <w:rPr>
      <w:rFonts w:ascii="Tahoma" w:hAnsi="Tahoma"/>
      <w:sz w:val="16"/>
    </w:rPr>
  </w:style>
  <w:style w:styleId="Style_19_ch" w:type="character">
    <w:name w:val="Balloon Text"/>
    <w:basedOn w:val="Style_2_ch"/>
    <w:link w:val="Style_19"/>
    <w:rPr>
      <w:rFonts w:ascii="Tahoma" w:hAnsi="Tahoma"/>
      <w:sz w:val="16"/>
    </w:rPr>
  </w:style>
  <w:style w:styleId="Style_20" w:type="paragraph">
    <w:name w:val="heading 5"/>
    <w:next w:val="Style_2"/>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Standard"/>
    <w:link w:val="Style_21_ch"/>
    <w:pPr>
      <w:widowControl w:val="0"/>
      <w:ind/>
    </w:pPr>
    <w:rPr>
      <w:sz w:val="24"/>
    </w:rPr>
  </w:style>
  <w:style w:styleId="Style_21_ch" w:type="character">
    <w:name w:val="Standard"/>
    <w:link w:val="Style_21"/>
    <w:rPr>
      <w:sz w:val="24"/>
    </w:rPr>
  </w:style>
  <w:style w:styleId="Style_22" w:type="paragraph">
    <w:name w:val="heading 1"/>
    <w:next w:val="Style_2"/>
    <w:link w:val="Style_22_ch"/>
    <w:uiPriority w:val="9"/>
    <w:qFormat/>
    <w:pPr>
      <w:spacing w:after="120" w:before="120"/>
      <w:ind/>
      <w:jc w:val="both"/>
      <w:outlineLvl w:val="0"/>
    </w:pPr>
    <w:rPr>
      <w:rFonts w:ascii="XO Thames" w:hAnsi="XO Thames"/>
      <w:b w:val="1"/>
      <w:sz w:val="32"/>
    </w:rPr>
  </w:style>
  <w:style w:styleId="Style_22_ch" w:type="character">
    <w:name w:val="heading 1"/>
    <w:link w:val="Style_22"/>
    <w:rPr>
      <w:rFonts w:ascii="XO Thames" w:hAnsi="XO Thames"/>
      <w:b w:val="1"/>
      <w:sz w:val="32"/>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2"/>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Указатель1"/>
    <w:basedOn w:val="Style_2"/>
    <w:link w:val="Style_26_ch"/>
  </w:style>
  <w:style w:styleId="Style_26_ch" w:type="character">
    <w:name w:val="Указатель1"/>
    <w:basedOn w:val="Style_2_ch"/>
    <w:link w:val="Style_26"/>
  </w:style>
  <w:style w:styleId="Style_27" w:type="paragraph">
    <w:name w:val="toc 9"/>
    <w:next w:val="Style_2"/>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Заголовок"/>
    <w:basedOn w:val="Style_2"/>
    <w:next w:val="Style_4"/>
    <w:link w:val="Style_28_ch"/>
    <w:pPr>
      <w:keepNext w:val="1"/>
      <w:spacing w:after="120" w:before="240"/>
      <w:ind/>
    </w:pPr>
    <w:rPr>
      <w:rFonts w:ascii="Arial" w:hAnsi="Arial"/>
      <w:sz w:val="28"/>
    </w:rPr>
  </w:style>
  <w:style w:styleId="Style_28_ch" w:type="character">
    <w:name w:val="Заголовок"/>
    <w:basedOn w:val="Style_2_ch"/>
    <w:link w:val="Style_28"/>
    <w:rPr>
      <w:rFonts w:ascii="Arial" w:hAnsi="Arial"/>
      <w:sz w:val="28"/>
    </w:rPr>
  </w:style>
  <w:style w:styleId="Style_29" w:type="paragraph">
    <w:name w:val="toc 8"/>
    <w:next w:val="Style_2"/>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WW8Num3z0"/>
    <w:link w:val="Style_30_ch"/>
    <w:rPr>
      <w:rFonts w:ascii="Times New Roman" w:hAnsi="Times New Roman"/>
    </w:rPr>
  </w:style>
  <w:style w:styleId="Style_30_ch" w:type="character">
    <w:name w:val="WW8Num3z0"/>
    <w:link w:val="Style_30"/>
    <w:rPr>
      <w:rFonts w:ascii="Times New Roman" w:hAnsi="Times New Roman"/>
    </w:rPr>
  </w:style>
  <w:style w:styleId="Style_31" w:type="paragraph">
    <w:name w:val="Body Text Indent"/>
    <w:basedOn w:val="Style_2"/>
    <w:link w:val="Style_31_ch"/>
    <w:pPr>
      <w:spacing w:after="120"/>
      <w:ind w:firstLine="0" w:left="283"/>
    </w:pPr>
  </w:style>
  <w:style w:styleId="Style_31_ch" w:type="character">
    <w:name w:val="Body Text Indent"/>
    <w:basedOn w:val="Style_2_ch"/>
    <w:link w:val="Style_31"/>
  </w:style>
  <w:style w:styleId="Style_32" w:type="paragraph">
    <w:name w:val="Font Style22"/>
    <w:link w:val="Style_32_ch"/>
    <w:rPr>
      <w:rFonts w:ascii="Times New Roman" w:hAnsi="Times New Roman"/>
      <w:sz w:val="26"/>
    </w:rPr>
  </w:style>
  <w:style w:styleId="Style_32_ch" w:type="character">
    <w:name w:val="Font Style22"/>
    <w:link w:val="Style_32"/>
    <w:rPr>
      <w:rFonts w:ascii="Times New Roman" w:hAnsi="Times New Roman"/>
      <w:sz w:val="26"/>
    </w:rPr>
  </w:style>
  <w:style w:styleId="Style_33" w:type="paragraph">
    <w:name w:val="toc 5"/>
    <w:next w:val="Style_2"/>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List"/>
    <w:basedOn w:val="Style_4"/>
    <w:link w:val="Style_34_ch"/>
  </w:style>
  <w:style w:styleId="Style_34_ch" w:type="character">
    <w:name w:val="List"/>
    <w:basedOn w:val="Style_4_ch"/>
    <w:link w:val="Style_34"/>
  </w:style>
  <w:style w:styleId="Style_35" w:type="paragraph">
    <w:name w:val="Основной текст с отступом 21"/>
    <w:basedOn w:val="Style_16"/>
    <w:link w:val="Style_35_ch"/>
    <w:pPr>
      <w:spacing w:line="360" w:lineRule="auto"/>
      <w:ind w:firstLine="570" w:left="0"/>
      <w:jc w:val="both"/>
    </w:pPr>
    <w:rPr>
      <w:rFonts w:ascii="Courier New" w:hAnsi="Courier New"/>
    </w:rPr>
  </w:style>
  <w:style w:styleId="Style_35_ch" w:type="character">
    <w:name w:val="Основной текст с отступом 21"/>
    <w:basedOn w:val="Style_16_ch"/>
    <w:link w:val="Style_35"/>
    <w:rPr>
      <w:rFonts w:ascii="Courier New" w:hAnsi="Courier New"/>
    </w:rPr>
  </w:style>
  <w:style w:styleId="Style_36" w:type="paragraph">
    <w:name w:val="Subtitle"/>
    <w:basedOn w:val="Style_2"/>
    <w:next w:val="Style_2"/>
    <w:link w:val="Style_36_ch"/>
    <w:uiPriority w:val="11"/>
    <w:qFormat/>
    <w:pPr>
      <w:spacing w:after="60"/>
      <w:ind/>
      <w:jc w:val="center"/>
      <w:outlineLvl w:val="1"/>
    </w:pPr>
    <w:rPr>
      <w:rFonts w:ascii="Cambria" w:hAnsi="Cambria"/>
    </w:rPr>
  </w:style>
  <w:style w:styleId="Style_36_ch" w:type="character">
    <w:name w:val="Subtitle"/>
    <w:basedOn w:val="Style_2_ch"/>
    <w:link w:val="Style_36"/>
    <w:rPr>
      <w:rFonts w:ascii="Cambria" w:hAnsi="Cambria"/>
    </w:rPr>
  </w:style>
  <w:style w:styleId="Style_37" w:type="paragraph">
    <w:name w:val="Заголовок таблицы"/>
    <w:basedOn w:val="Style_18"/>
    <w:link w:val="Style_37_ch"/>
    <w:pPr>
      <w:ind/>
      <w:jc w:val="center"/>
    </w:pPr>
    <w:rPr>
      <w:b w:val="1"/>
    </w:rPr>
  </w:style>
  <w:style w:styleId="Style_37_ch" w:type="character">
    <w:name w:val="Заголовок таблицы"/>
    <w:basedOn w:val="Style_18_ch"/>
    <w:link w:val="Style_37"/>
    <w:rPr>
      <w:b w:val="1"/>
    </w:rPr>
  </w:style>
  <w:style w:styleId="Style_38" w:type="paragraph">
    <w:name w:val="Title"/>
    <w:basedOn w:val="Style_2"/>
    <w:next w:val="Style_36"/>
    <w:link w:val="Style_38_ch"/>
    <w:uiPriority w:val="10"/>
    <w:qFormat/>
    <w:pPr>
      <w:widowControl w:val="1"/>
      <w:ind/>
      <w:jc w:val="center"/>
    </w:pPr>
    <w:rPr>
      <w:b w:val="1"/>
      <w:color w:val="000000"/>
      <w:sz w:val="28"/>
    </w:rPr>
  </w:style>
  <w:style w:styleId="Style_38_ch" w:type="character">
    <w:name w:val="Title"/>
    <w:basedOn w:val="Style_2_ch"/>
    <w:link w:val="Style_38"/>
    <w:rPr>
      <w:b w:val="1"/>
      <w:color w:val="000000"/>
      <w:sz w:val="28"/>
    </w:rPr>
  </w:style>
  <w:style w:styleId="Style_39" w:type="paragraph">
    <w:name w:val="heading 4"/>
    <w:next w:val="Style_2"/>
    <w:link w:val="Style_39_ch"/>
    <w:uiPriority w:val="9"/>
    <w:qFormat/>
    <w:pPr>
      <w:spacing w:after="120" w:before="120"/>
      <w:ind/>
      <w:jc w:val="both"/>
      <w:outlineLvl w:val="3"/>
    </w:pPr>
    <w:rPr>
      <w:rFonts w:ascii="XO Thames" w:hAnsi="XO Thames"/>
      <w:b w:val="1"/>
      <w:sz w:val="24"/>
    </w:rPr>
  </w:style>
  <w:style w:styleId="Style_39_ch" w:type="character">
    <w:name w:val="heading 4"/>
    <w:link w:val="Style_39"/>
    <w:rPr>
      <w:rFonts w:ascii="XO Thames" w:hAnsi="XO Thames"/>
      <w:b w:val="1"/>
      <w:sz w:val="24"/>
    </w:rPr>
  </w:style>
  <w:style w:styleId="Style_40" w:type="paragraph">
    <w:name w:val="heading 2"/>
    <w:next w:val="Style_2"/>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2024-06-20T04:06:07Z</dcterms:modified>
</cp:coreProperties>
</file>