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rPr>
          <w:b/>
          <w:bCs/>
          <w:color w:val="c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c00000"/>
          <w:sz w:val="24"/>
          <w:szCs w:val="24"/>
        </w:rPr>
        <w:t xml:space="preserve">Гарантийный фонд Самарской области помог предпринимателям</w:t>
      </w:r>
      <w:r>
        <w:rPr>
          <w:b/>
          <w:bCs/>
          <w:color w:val="c00000"/>
          <w:sz w:val="24"/>
          <w:szCs w:val="24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b/>
          <w:bCs/>
          <w:color w:val="c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c00000"/>
          <w:sz w:val="24"/>
          <w:szCs w:val="24"/>
        </w:rPr>
        <w:t xml:space="preserve">привлечь рекордные 3,2 млрд рублей</w:t>
      </w:r>
      <w:r>
        <w:rPr>
          <w:b/>
          <w:bCs/>
          <w:color w:val="c00000"/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Министр экономического развития и инвестиций Самарской области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Дмитрий Богданов представил итоги работы регионального Гарантийного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фонда в 2022 году. 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Организация инфраструктуры развития предпринимательства помогла 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представителям малого и среднего бизнеса привлечь 3,2 млрд рублей – это </w:t>
      </w:r>
      <w:r>
        <w:rPr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рекордный показатель работы ГФСО.</w:t>
      </w:r>
      <w:r>
        <w:rPr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«Гарантийный фонд Самарской области работает с предпринимателями по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двум направлениям: предоставляет льготные микрозаймы до 5 млн рублей и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государственные гарантии для получения кредитов в коммерческих банках.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Ставки по программам ГФСО не превышают 5,6% годовых, они не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поднимались даже в условиях роста ключевой ставки Центробанка», -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рассказал Дмитрий Богданов.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Активная финансовая поддержка предпринимателей региона стала возможна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благодаря решению Губернатора Дмитрия Азарова о докапитализации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Фонда на 640 млн рублей в 2020 году, а также инициативы областного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минэкономразвития о выделении дополнительных 160 млн рублей на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программы ГФСО в 2022 году.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Сегодня в Фонде действуют несколько программ предоставления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микрозаймов: для начинающих и более опытных предпринимателей, а также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для самозанятых граждан. Плательщики налога на профессиональный доход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и социальный бизнес могут оформить микрозайм по минимальной ставке -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всего 1% годовых.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«Всего в 2022 году ГФСО выдал 302 микрозайма и 122 поручительства.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Многие предприниматели Самарской области уже неоднократно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обращались в ГФСО за финансовой поддержкой на развитие своего дела,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масштабирование и расширение, реализацию новых проектов», - рассказал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Дмитрий Богданов.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Средства для субъектов МСП в Гарантийном фонде предоставляются при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предоставлении залогового имущества и поручительства. В качестве залога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могут выступать автомобили и спецтехника, торгово-офисные помещения,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нежилые 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помещения 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различного 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назначения, 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производственное 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оборудование. </w:t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Для предпринимателей, у которых есть квалифицированная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электронная подпись, есть возможность подачи заявки в электронном виде.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«В 2022 году мы сохранили программу для начинающих субъектов малого и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среднего предпринимательства, ставка по которой составляет всего лишь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1% годовых, - подчеркнула генеральный директор Гарантийного фонда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Самарской области Юлия Красина. – Общий объем выданных микрозаймов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вырос на 53% по сравнению с 2021 годом».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«Благодаря программе Гарантийного фонда мы получили льготные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средства, на которые приобрели аттракцион виртуальной реальности и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открыли VR-парк в одном из торговых центров Самары. Для начинающего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бизнеса важна доступность финансирования, ведь в банках, особенно в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нынешних реалиях, взять займ очень сложно», - рассказала руководитель</w:t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ООО «ВР-Поволжье» Кристина Щербакова.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2023-01-13T05:45:45Z</dcterms:modified>
</cp:coreProperties>
</file>