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Дмитрий Богданов: «Мы разрабатываем новые инструменты поддержки в диалоге с бизнес-сообществом»</w:t>
      </w:r>
      <w:r>
        <w:rPr>
          <w:color w:val="FF0000"/>
          <w:sz w:val="28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В Самарской области начал свою работу итоговый предпринимательский форум «Мой бизнес 63. Время новых решений». Он пройдет в формате Недели предпринимательства, в разных городах региона.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Форум проводится в рамках реализации нацпроекта «Малое и среднее предпринимательство и поддержка индивидуальной предпринимательской инициативы». Традиционное мероприятие, организованное областным минэкономразвития, уже собрало более 1000 участников.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В Самарской области уделяется особое внимание созданию благоприятной предпринимательской среды, условий для стабильной работы предприятий малого и среднего бизнеса. Это ключевые направления в работе областного Правительства и Губернатора Дмитрия Азарова.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В</w:t>
      </w:r>
      <w:r>
        <w:rPr>
          <w:sz w:val="24"/>
        </w:rPr>
        <w:t xml:space="preserve"> стартовый день форума на площадке Ледового дворца спорта состоялся региональный этап Национальной премии «Бизнес-Успех»: презентация финалистов и награждение победителей в восьми номинациях, среди которых «Лучший женский проект», «Лучший производственный </w:t>
      </w:r>
      <w:r>
        <w:rPr>
          <w:sz w:val="24"/>
        </w:rPr>
        <w:t xml:space="preserve">проект», «Премия для самозанятых» и др. Победители представят регион на федеральном этапе в Москве.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Предприниматели также смогли посетить семинар Александра Левитаса – известного маркетолога, бизнес-тренера и консультанта.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Ц</w:t>
      </w:r>
      <w:r>
        <w:rPr>
          <w:sz w:val="24"/>
        </w:rPr>
        <w:t xml:space="preserve">ентральным событием первого дня форума стала пленарная сессия «Взаимодействие бизнеса, власти и общества. Как накапливать опыт, чтобы помогать друг другу преодолевать трудности», с участием министра экономического развития и инвестиций Самарской области Дм</w:t>
      </w:r>
      <w:r>
        <w:rPr>
          <w:sz w:val="24"/>
        </w:rPr>
        <w:t xml:space="preserve">итрия Богданова.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Он поделился актуальными показателями развития сферы малого и среднего предпринимательства и основных инструментах, которые помогают бизнесу стабильно работать и двигаться вперед в нынешних экономических условиях.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В</w:t>
      </w:r>
      <w:r>
        <w:rPr>
          <w:sz w:val="24"/>
        </w:rPr>
        <w:t xml:space="preserve"> 2022 году численность занятых в сфере малого и среднего предпринимательства Самарской области увеличилась на 8,1% и составляет 640 тысяч человек. Особой популярностью пользуется налоговый режим для самозанятых. В этом году число плательщиков налога на про</w:t>
      </w:r>
      <w:r>
        <w:rPr>
          <w:sz w:val="24"/>
        </w:rPr>
        <w:t xml:space="preserve">фессиональный доход возросло на 57,6%, до 148 тысяч человек.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В 2022 году одной из сложностей для бизнеса стала доступность финансовых ресурсов. И, в первую очередь, принимались меры, направленные на решение этой проблемы. Новые программы льготного кредитования вводились на пиках процентной ставки как оперативная ант</w:t>
      </w:r>
      <w:r>
        <w:rPr>
          <w:sz w:val="24"/>
        </w:rPr>
        <w:t xml:space="preserve">и</w:t>
      </w:r>
      <w:r>
        <w:rPr>
          <w:sz w:val="24"/>
        </w:rPr>
        <w:t xml:space="preserve">кризисная мера для нивелирования резкого роста ключевой ставки Центробанка, - рассказал Дмитрий Богданов. - Предприниматели Самарской области активно используют федеральные инструменты для развития своего дела, реализации новых проектов. В этом году по все</w:t>
      </w:r>
      <w:r>
        <w:rPr>
          <w:sz w:val="24"/>
        </w:rPr>
        <w:t xml:space="preserve">м действующим федеральным программам льготного кредитования предприятия нашего региона получили почти 69 миллиардов рублей».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Г</w:t>
      </w:r>
      <w:r>
        <w:rPr>
          <w:sz w:val="24"/>
        </w:rPr>
        <w:t xml:space="preserve">лава областного минэка также рассказал о поддержке предприятий, которые в текущих условиях были вынуждены искать новых поставщиков и оптимизировать логистические цепочки. «В Самарской области работает Центр импортозамещения, в который уже обратились 72 ком</w:t>
      </w:r>
      <w:r>
        <w:rPr>
          <w:sz w:val="24"/>
        </w:rPr>
        <w:t xml:space="preserve">пании региона. Специалистам организации удалось заместить этим предприятиям уже более 2,7 тысяч товарных позиций», - пояснил Дмитрий Богданов.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Как подчеркнул первый вице-президент «ОПОРЫ РОССИИ» Азат Газизов, предпринимателям важно видеть чужой позитивный пример, вдохновляться.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Сегодня многие предприниматели презентовали свою продукцию и находили новых партнеров и заказчиков. И даже если они не получили премию «Бизнес-Успех», они выиграли в контрактах. Форум, организованный Правительством Самарской области, показывает системный п</w:t>
      </w:r>
      <w:r>
        <w:rPr>
          <w:sz w:val="24"/>
        </w:rPr>
        <w:t xml:space="preserve">о</w:t>
      </w:r>
      <w:r>
        <w:rPr>
          <w:sz w:val="24"/>
        </w:rPr>
        <w:t xml:space="preserve">дход к работе с бизнесом. Это продемонстрировал и министр экономического развития Дмитрий Юрьевич Богданов – его презентация была о конкретных мерах, с предложениями для бизнеса принять участие в развитии новых инструментов поддержки», - отметил Азат Газиз</w:t>
      </w:r>
      <w:r>
        <w:rPr>
          <w:sz w:val="24"/>
        </w:rPr>
        <w:t xml:space="preserve">ов.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К</w:t>
      </w:r>
      <w:r>
        <w:rPr>
          <w:sz w:val="24"/>
        </w:rPr>
        <w:t xml:space="preserve"> участию в форуме в режиме видеоконференции подключился директор департамента государственной политики в сфере лицензирования, контрольно-надзорной деятельности, аккредитации и саморегулирования Минэкономразвития России Александр Вдовин. Он рассказал о раб</w:t>
      </w:r>
      <w:r>
        <w:rPr>
          <w:sz w:val="24"/>
        </w:rPr>
        <w:t xml:space="preserve">оте, которую проводит государство в сфере снижения административных барьеров для бизнеса.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В начале года нам приходилось оперативно принимать большие пакеты решений. Ключевыми мерами я бы назвал мораторий на проверки, который был в этом году введен, и автоматическое продление лицензий. В соответствии с поручением Президента, на следующий год фак</w:t>
      </w:r>
      <w:r>
        <w:rPr>
          <w:sz w:val="24"/>
        </w:rPr>
        <w:t xml:space="preserve">тически продляется мораторий, сохраняются только проверки объектов чрезвычайно высокого и высокого рисков», - перечислил Александр Вдовин.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Дмитрий Богданов отметил, что в текущем году в Самарской области число проверок предприятий малого и среднего бизнеса сократилось в 6 раз.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В</w:t>
      </w:r>
      <w:r>
        <w:rPr>
          <w:sz w:val="24"/>
        </w:rPr>
        <w:t xml:space="preserve"> ходе пленарной сессии предприниматели Самарской области поделились с участниками и гостями форума своими историями успеха - становления и развития бизнеса с господдержкой: финансовыми программами регионального Гарантийного фонда, услугами Центра поддержки</w:t>
      </w:r>
      <w:r>
        <w:rPr>
          <w:sz w:val="24"/>
        </w:rPr>
        <w:t xml:space="preserve"> экспорта и возможностями статуса резидента технопарка «Жигулёвская долина».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Мы являемся специалистами в области безопасности, занимаемся установкой системы «Глонасс», снижаем число угонов автомобилей, а также реализуем проект по контролю восхождения на Эльбрус. Сегодня мы представлены в 36 городах России. Наша компания является ре</w:t>
      </w:r>
      <w:r>
        <w:rPr>
          <w:sz w:val="24"/>
        </w:rPr>
        <w:t xml:space="preserve">зидентом «Жигулевской долины» и на начальном этапе технопарк предоставлял нашей команде оборудование, компьютеры. Сейчас готовимся получить статус резидента «Сколково», - рассказал директор ООО «ВПК Поток» Сергей Сычугов.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Для начинающего бизнеса важна доступность финансирования, ведь в банках, особенно в нынешних реалиях, взять займ очень сложно. Благодаря программе Гарантийного фонда мы получили льготные средства, на которые приобрели аттракцион виртуальной реальности и </w:t>
      </w:r>
      <w:r>
        <w:rPr>
          <w:sz w:val="24"/>
        </w:rPr>
        <w:t xml:space="preserve">ближайшее время открываем VR-парк в торговом центре «Мега-Сити», - рассказала руководитель ООО «ВР-Поволжье» Кристина Щербакова.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Основная программа предпринимательского форума продолжится на площадке регионального центра «Мой бизнес» и в центрах других городов.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С подробной программой можно познакомиться по ссылке: forum.mybiz63.ru.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Дмитрий Богданов, министр экономического развития и инвестиций Самарской области:</w:t>
      </w:r>
      <w:r>
        <w:rPr>
          <w:sz w:val="24"/>
        </w:rPr>
      </w:r>
    </w:p>
    <w:p>
      <w:pPr>
        <w:ind w:left="-850" w:right="-283" w:firstLine="0"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При формировании региональной линейки мер поддержки бизнеса мы, в первую очередь, оцениваем актуальность того или иного инструмента, учитываем мнения и пожелания самих предпринимателей. Это помогает нам инициировать предложения об утверждении антикризисны</w:t>
      </w:r>
      <w:r>
        <w:rPr>
          <w:sz w:val="24"/>
        </w:rPr>
        <w:t xml:space="preserve">х</w:t>
      </w:r>
      <w:r>
        <w:rPr>
          <w:sz w:val="24"/>
        </w:rPr>
        <w:t xml:space="preserve"> мер на уровне государства, внедрять региональные инструменты поддержки и подключаться к решению конкретных проблемных ситуаций. Мы готовы всесторонне поддерживать самарских предпринимателей, в том числе их инициативы, направленные на освоение новых направ</w:t>
      </w:r>
      <w:r>
        <w:rPr>
          <w:sz w:val="24"/>
        </w:rPr>
        <w:t xml:space="preserve">лений работы и импортозамещение, создание рабочих мест, развитие региона и страны в целом.</w:t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2022-12-08T05:09:07Z</dcterms:modified>
</cp:coreProperties>
</file>