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4CD" w:rsidRPr="00B94AA5" w:rsidRDefault="00B94AA5" w:rsidP="00B94AA5">
      <w:pPr>
        <w:pStyle w:val="ac"/>
        <w:spacing w:before="62" w:after="0" w:line="57" w:lineRule="atLeast"/>
        <w:ind w:left="0"/>
        <w:jc w:val="both"/>
        <w:rPr>
          <w:rFonts w:cs="Times New Roman"/>
          <w:color w:val="000000"/>
          <w:sz w:val="28"/>
          <w:highlight w:val="white"/>
        </w:rPr>
      </w:pPr>
      <w:r>
        <w:rPr>
          <w:rFonts w:eastAsia="Times New Roman" w:cs="Times New Roman"/>
          <w:color w:val="000000"/>
        </w:rPr>
        <w:t xml:space="preserve">                     </w:t>
      </w:r>
      <w:bookmarkStart w:id="0" w:name="_GoBack"/>
      <w:bookmarkEnd w:id="0"/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Памятники природы – это уникальные, невоспроизводимые природные объекты, </w:t>
      </w:r>
      <w:r w:rsidRPr="00B94AA5">
        <w:rPr>
          <w:rFonts w:eastAsia="Times New Roman" w:cs="Times New Roman"/>
          <w:color w:val="000000"/>
          <w:sz w:val="28"/>
          <w:highlight w:val="white"/>
        </w:rPr>
        <w:t>имеющие научную, экологическую, культурную и эстетическую ценность. На территории, где они расположены, запрещена любая деятельность, нарушающая их сохранность.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>ООПТ регионального значения на территории Самарской области представлены 211 памятниками приро</w:t>
      </w:r>
      <w:r w:rsidRPr="00B94AA5">
        <w:rPr>
          <w:rFonts w:eastAsia="Times New Roman" w:cs="Times New Roman"/>
          <w:color w:val="000000"/>
          <w:sz w:val="28"/>
          <w:highlight w:val="white"/>
        </w:rPr>
        <w:t>ды, площадь которых составляет 95,3 тыс. га или 1,7% от площади региона. Перечень ООПТ и реестр ООПТ регионального значения Самарской области размещены на официальном сайте министерства (www.priroda.samregion.ru), в разделе «Охрана окружающей среды».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>На т</w:t>
      </w: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ерритории муниципального района </w:t>
      </w:r>
      <w:proofErr w:type="gramStart"/>
      <w:r w:rsidRPr="00B94AA5">
        <w:rPr>
          <w:rFonts w:eastAsia="Times New Roman" w:cs="Times New Roman"/>
          <w:color w:val="000000"/>
          <w:sz w:val="28"/>
          <w:highlight w:val="white"/>
        </w:rPr>
        <w:t>Алексеевский</w:t>
      </w:r>
      <w:proofErr w:type="gramEnd"/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расположены 9 особо охраняемых природных территорий (далее-ООПТ) регионального значения.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>В соответствии с Постановлением Правительства Самарской области от 31.12.2009 N 722 «Об утверждении Положений об особо ох</w:t>
      </w:r>
      <w:r w:rsidRPr="00B94AA5">
        <w:rPr>
          <w:rFonts w:eastAsia="Times New Roman" w:cs="Times New Roman"/>
          <w:color w:val="000000"/>
          <w:sz w:val="28"/>
          <w:highlight w:val="white"/>
        </w:rPr>
        <w:t>раняемых природных территориях регионального значения»- на территории памятников природы запрещается (не допускается) деятельность, влекущая за собой нарушение сохранности памятника природы, в частности: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распашка земель и иные агротехнические и лесохоз</w:t>
      </w:r>
      <w:r w:rsidRPr="00B94AA5">
        <w:rPr>
          <w:rFonts w:eastAsia="Times New Roman" w:cs="Times New Roman"/>
          <w:color w:val="000000"/>
          <w:sz w:val="28"/>
          <w:highlight w:val="white"/>
        </w:rPr>
        <w:t>яйственные работы, связанные с нарушением целостности почвенного покрова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устройство свалок, складирование и захоронение отходов;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мелиоративные работы, гидростроительство, зарегулирование стока;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размещение летних лагерей скота, летних доек, мест</w:t>
      </w: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водопоя скота;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выпас мелкого рогатого скота;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промысловая, любительская и спортивная охота, а также размещение и строительство </w:t>
      </w:r>
      <w:proofErr w:type="spellStart"/>
      <w:r w:rsidRPr="00B94AA5">
        <w:rPr>
          <w:rFonts w:eastAsia="Times New Roman" w:cs="Times New Roman"/>
          <w:color w:val="000000"/>
          <w:sz w:val="28"/>
          <w:highlight w:val="white"/>
        </w:rPr>
        <w:t>охотхозяйственных</w:t>
      </w:r>
      <w:proofErr w:type="spellEnd"/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объектов;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заготовка </w:t>
      </w:r>
      <w:proofErr w:type="spellStart"/>
      <w:r w:rsidRPr="00B94AA5">
        <w:rPr>
          <w:rFonts w:eastAsia="Times New Roman" w:cs="Times New Roman"/>
          <w:color w:val="000000"/>
          <w:sz w:val="28"/>
          <w:highlight w:val="white"/>
        </w:rPr>
        <w:t>недревесных</w:t>
      </w:r>
      <w:proofErr w:type="spellEnd"/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лесных ресурсов, пищевых лесных ресурсов и сбор лекарственных расте</w:t>
      </w:r>
      <w:r w:rsidRPr="00B94AA5">
        <w:rPr>
          <w:rFonts w:eastAsia="Times New Roman" w:cs="Times New Roman"/>
          <w:color w:val="000000"/>
          <w:sz w:val="28"/>
          <w:highlight w:val="white"/>
        </w:rPr>
        <w:t>ний;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осуществление деятельности по выращиванию лесных плодовых, ягодных, декоративных растений, лекарственных растений, создание лесных плантаций и их эксплуатация;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lastRenderedPageBreak/>
        <w:t xml:space="preserve"> — использование токсичных химических препаратов для охраны и защиты лесов и </w:t>
      </w:r>
      <w:r w:rsidRPr="00B94AA5">
        <w:rPr>
          <w:rFonts w:eastAsia="Times New Roman" w:cs="Times New Roman"/>
          <w:color w:val="000000"/>
          <w:sz w:val="28"/>
          <w:highlight w:val="white"/>
        </w:rPr>
        <w:t>сельскохозяйственных угодий;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складирование, хранение, перевалка, уничтожение пестицидов, </w:t>
      </w:r>
      <w:proofErr w:type="spellStart"/>
      <w:r w:rsidRPr="00B94AA5">
        <w:rPr>
          <w:rFonts w:eastAsia="Times New Roman" w:cs="Times New Roman"/>
          <w:color w:val="000000"/>
          <w:sz w:val="28"/>
          <w:highlight w:val="white"/>
        </w:rPr>
        <w:t>агрохимикатов</w:t>
      </w:r>
      <w:proofErr w:type="spellEnd"/>
      <w:r w:rsidRPr="00B94AA5">
        <w:rPr>
          <w:rFonts w:eastAsia="Times New Roman" w:cs="Times New Roman"/>
          <w:color w:val="000000"/>
          <w:sz w:val="28"/>
          <w:highlight w:val="white"/>
        </w:rPr>
        <w:t>, химических препаратов иного назначения и горюче-смазочных материалов;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разведка и добыча полезных ископаемых;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сжигание порубочных остатков, </w:t>
      </w:r>
      <w:r w:rsidRPr="00B94AA5">
        <w:rPr>
          <w:rFonts w:eastAsia="Times New Roman" w:cs="Times New Roman"/>
          <w:color w:val="000000"/>
          <w:sz w:val="28"/>
          <w:highlight w:val="white"/>
        </w:rPr>
        <w:t>пожнивных остатков на полях, иное использование огня в хозяйственных целях;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— передвижение транспорта вне дорог, за исключением передвижения, необходимого для обеспечения установленного режима памятника природы.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>Проведение агротехнических работ и других</w:t>
      </w: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видов работ, связанных с нарушением почвенного покрова в границах территории памятников природы регионального значения является нарушением ч. 1 ст. 27 Федерального Закона от 14.03.1995 № 33-ФЗ «Об особо охраняемых природных территориях», а также нарушение</w:t>
      </w:r>
      <w:r w:rsidRPr="00B94AA5">
        <w:rPr>
          <w:rFonts w:eastAsia="Times New Roman" w:cs="Times New Roman"/>
          <w:color w:val="000000"/>
          <w:sz w:val="28"/>
          <w:highlight w:val="white"/>
        </w:rPr>
        <w:t>м режима особой охраны памятников природы, установленного положениями о памятниках природы регионального значения.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За нарушение правил охраны и использования природных ресурсов на ООПТ статьей 8.39 Кодекса РФ </w:t>
      </w:r>
      <w:proofErr w:type="gramStart"/>
      <w:r w:rsidRPr="00B94AA5">
        <w:rPr>
          <w:rFonts w:eastAsia="Times New Roman" w:cs="Times New Roman"/>
          <w:color w:val="000000"/>
          <w:sz w:val="28"/>
          <w:highlight w:val="white"/>
        </w:rPr>
        <w:t>об административных правонарушениях для юридич</w:t>
      </w:r>
      <w:r w:rsidRPr="00B94AA5">
        <w:rPr>
          <w:rFonts w:eastAsia="Times New Roman" w:cs="Times New Roman"/>
          <w:color w:val="000000"/>
          <w:sz w:val="28"/>
          <w:highlight w:val="white"/>
        </w:rPr>
        <w:t>еских лиц предусмотрено административное наказание в виде штрафа в размере от трехсот тысяч до пятисот тысяч рублей</w:t>
      </w:r>
      <w:proofErr w:type="gramEnd"/>
      <w:r w:rsidRPr="00B94AA5">
        <w:rPr>
          <w:rFonts w:eastAsia="Times New Roman" w:cs="Times New Roman"/>
          <w:color w:val="000000"/>
          <w:sz w:val="28"/>
          <w:highlight w:val="white"/>
        </w:rPr>
        <w:t xml:space="preserve"> с конфискацией орудий совершения административного правонарушения и продукции незаконного природопользования или без таковой.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</w:p>
    <w:p w:rsidR="00BF54CD" w:rsidRPr="00B94AA5" w:rsidRDefault="00B94AA5">
      <w:pPr>
        <w:pStyle w:val="ac"/>
        <w:spacing w:before="62" w:after="0" w:line="57" w:lineRule="atLeast"/>
        <w:ind w:left="0" w:firstLine="907"/>
        <w:jc w:val="both"/>
        <w:rPr>
          <w:rFonts w:cs="Times New Roman"/>
          <w:color w:val="000000"/>
          <w:sz w:val="28"/>
          <w:highlight w:val="white"/>
        </w:rPr>
      </w:pPr>
      <w:r w:rsidRPr="00B94AA5">
        <w:rPr>
          <w:rFonts w:eastAsia="Times New Roman" w:cs="Times New Roman"/>
          <w:color w:val="000000"/>
          <w:sz w:val="28"/>
          <w:highlight w:val="white"/>
        </w:rPr>
        <w:t>С целью предо</w:t>
      </w:r>
      <w:r w:rsidRPr="00B94AA5">
        <w:rPr>
          <w:rFonts w:eastAsia="Times New Roman" w:cs="Times New Roman"/>
          <w:color w:val="000000"/>
          <w:sz w:val="28"/>
          <w:highlight w:val="white"/>
        </w:rPr>
        <w:t>твращения порчи и уничтожения памятников природы регионального значения информируем Вас о необходимости соблюдения природоохранного режима,  установленного Правительством Самарской области.</w:t>
      </w: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BF54CD" w:rsidRPr="00B94AA5" w:rsidRDefault="00BF54CD">
      <w:pPr>
        <w:pStyle w:val="ac"/>
        <w:spacing w:before="62" w:after="0" w:line="57" w:lineRule="atLeast"/>
        <w:ind w:left="0" w:firstLine="907"/>
        <w:jc w:val="both"/>
        <w:rPr>
          <w:rFonts w:eastAsia="Times New Roman" w:cs="Times New Roman"/>
          <w:color w:val="000000"/>
          <w:sz w:val="28"/>
        </w:rPr>
      </w:pPr>
    </w:p>
    <w:p w:rsidR="00BF54CD" w:rsidRPr="00B94AA5" w:rsidRDefault="00B94AA5" w:rsidP="00B94AA5">
      <w:pPr>
        <w:spacing w:after="0" w:line="240" w:lineRule="auto"/>
        <w:jc w:val="right"/>
        <w:rPr>
          <w:sz w:val="28"/>
        </w:rPr>
      </w:pPr>
      <w:r w:rsidRPr="00B94AA5">
        <w:rPr>
          <w:b/>
          <w:sz w:val="28"/>
        </w:rPr>
        <w:t xml:space="preserve">Начальник отдела по экологии </w:t>
      </w:r>
    </w:p>
    <w:p w:rsidR="00BF54CD" w:rsidRPr="00B94AA5" w:rsidRDefault="00B94AA5" w:rsidP="00B94AA5">
      <w:pPr>
        <w:spacing w:after="0" w:line="240" w:lineRule="auto"/>
        <w:jc w:val="right"/>
        <w:rPr>
          <w:sz w:val="28"/>
        </w:rPr>
      </w:pPr>
      <w:r w:rsidRPr="00B94AA5">
        <w:rPr>
          <w:b/>
          <w:sz w:val="28"/>
        </w:rPr>
        <w:t xml:space="preserve">и природопользованию </w:t>
      </w:r>
    </w:p>
    <w:p w:rsidR="00B94AA5" w:rsidRDefault="00B94AA5" w:rsidP="00B94AA5">
      <w:pPr>
        <w:spacing w:after="0" w:line="240" w:lineRule="auto"/>
        <w:jc w:val="right"/>
        <w:rPr>
          <w:b/>
          <w:sz w:val="28"/>
        </w:rPr>
      </w:pPr>
      <w:r w:rsidRPr="00B94AA5">
        <w:rPr>
          <w:b/>
          <w:sz w:val="28"/>
        </w:rPr>
        <w:t>Администраци</w:t>
      </w:r>
      <w:r w:rsidRPr="00B94AA5">
        <w:rPr>
          <w:b/>
          <w:sz w:val="28"/>
        </w:rPr>
        <w:t xml:space="preserve">и м. р. </w:t>
      </w:r>
      <w:proofErr w:type="gramStart"/>
      <w:r w:rsidRPr="00B94AA5">
        <w:rPr>
          <w:b/>
          <w:sz w:val="28"/>
        </w:rPr>
        <w:t>Алексеевский</w:t>
      </w:r>
      <w:proofErr w:type="gramEnd"/>
      <w:r w:rsidRPr="00B94AA5">
        <w:rPr>
          <w:b/>
          <w:sz w:val="28"/>
        </w:rPr>
        <w:t xml:space="preserve">                                </w:t>
      </w:r>
      <w:r>
        <w:rPr>
          <w:b/>
          <w:sz w:val="28"/>
        </w:rPr>
        <w:t xml:space="preserve">                            </w:t>
      </w:r>
    </w:p>
    <w:p w:rsidR="00BF54CD" w:rsidRPr="00B94AA5" w:rsidRDefault="00B94AA5" w:rsidP="00B94AA5">
      <w:pPr>
        <w:spacing w:after="0" w:line="240" w:lineRule="auto"/>
        <w:jc w:val="right"/>
        <w:rPr>
          <w:sz w:val="28"/>
        </w:rPr>
      </w:pPr>
      <w:r w:rsidRPr="00B94AA5">
        <w:rPr>
          <w:b/>
          <w:sz w:val="28"/>
        </w:rPr>
        <w:t>Пеньков А. В.</w:t>
      </w:r>
    </w:p>
    <w:sectPr w:rsidR="00BF54CD" w:rsidRPr="00B94AA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4CD"/>
    <w:rsid w:val="00B94AA5"/>
    <w:rsid w:val="00BF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qFormat/>
    <w:pPr>
      <w:spacing w:after="0"/>
    </w:p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  <w:pPr>
      <w:spacing w:after="200" w:line="276" w:lineRule="auto"/>
    </w:pPr>
  </w:style>
  <w:style w:type="table" w:styleId="af7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Times New Roman" w:hAnsi="Times New Roman"/>
      <w:sz w:val="20"/>
      <w:szCs w:val="28"/>
    </w:rPr>
  </w:style>
  <w:style w:type="paragraph" w:styleId="1">
    <w:name w:val="heading 1"/>
    <w:basedOn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rPr>
      <w:color w:val="0000FF" w:themeColor="hyperlink"/>
      <w:u w:val="single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paragraph" w:styleId="aa">
    <w:name w:val="index heading"/>
    <w:basedOn w:val="a6"/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able of figures"/>
    <w:basedOn w:val="a"/>
    <w:next w:val="a"/>
    <w:uiPriority w:val="99"/>
    <w:unhideWhenUsed/>
    <w:qFormat/>
    <w:pPr>
      <w:spacing w:after="0"/>
    </w:p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paragraph" w:styleId="ad">
    <w:name w:val="No Spacing"/>
    <w:uiPriority w:val="1"/>
    <w:qFormat/>
  </w:style>
  <w:style w:type="paragraph" w:styleId="ae">
    <w:name w:val="Title"/>
    <w:basedOn w:val="a"/>
    <w:uiPriority w:val="10"/>
    <w:qFormat/>
    <w:pPr>
      <w:spacing w:before="300"/>
      <w:contextualSpacing/>
    </w:pPr>
    <w:rPr>
      <w:sz w:val="48"/>
      <w:szCs w:val="48"/>
    </w:rPr>
  </w:style>
  <w:style w:type="paragraph" w:styleId="af">
    <w:name w:val="Subtitle"/>
    <w:basedOn w:val="a"/>
    <w:uiPriority w:val="11"/>
    <w:qFormat/>
    <w:pPr>
      <w:spacing w:before="200"/>
    </w:pPr>
    <w:rPr>
      <w:sz w:val="24"/>
      <w:szCs w:val="24"/>
    </w:rPr>
  </w:style>
  <w:style w:type="paragraph" w:styleId="20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paragraph" w:customStyle="1" w:styleId="af1">
    <w:name w:val="Колонтитул"/>
    <w:basedOn w:val="a"/>
    <w:qFormat/>
  </w:style>
  <w:style w:type="paragraph" w:styleId="af2">
    <w:name w:val="head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3">
    <w:name w:val="footer"/>
    <w:basedOn w:val="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paragraph" w:styleId="af4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5">
    <w:name w:val="endnote text"/>
    <w:basedOn w:val="a"/>
    <w:uiPriority w:val="99"/>
    <w:semiHidden/>
    <w:unhideWhenUsed/>
    <w:pPr>
      <w:spacing w:after="0" w:line="240" w:lineRule="auto"/>
    </w:p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1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af6">
    <w:name w:val="TOC Heading"/>
    <w:uiPriority w:val="39"/>
    <w:unhideWhenUsed/>
    <w:pPr>
      <w:spacing w:after="200" w:line="276" w:lineRule="auto"/>
    </w:pPr>
  </w:style>
  <w:style w:type="table" w:styleId="af7">
    <w:name w:val="Table Grid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uto"/>
      </w:tcPr>
    </w:tblStylePr>
    <w:tblStylePr w:type="firstCol">
      <w:rPr>
        <w:b/>
        <w:color w:val="FFFFFF"/>
        <w:sz w:val="22"/>
      </w:rPr>
      <w:tblPr/>
      <w:tcPr>
        <w:shd w:val="clear" w:color="FFFFFF" w:fill="auto"/>
      </w:tcPr>
    </w:tblStylePr>
    <w:tblStylePr w:type="lastCol">
      <w:rPr>
        <w:b/>
        <w:color w:val="FFFFFF"/>
        <w:sz w:val="22"/>
      </w:rPr>
      <w:tblPr/>
      <w:tcPr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A6BFDD" w:themeColor="accent1" w:themeTint="80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A6BFDD" w:themeColor="accen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9ABB59" w:themeColor="accent3" w:themeTint="FE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ABB59" w:themeColor="accent3" w:themeTint="FE" w:themeShade="95"/>
        <w:sz w:val="22"/>
      </w:rPr>
      <w:tblPr/>
      <w:tcPr>
        <w:shd w:val="clear" w:color="FFFFFF" w:fill="auto"/>
      </w:tcPr>
    </w:tblStylePr>
    <w:tblStylePr w:type="band2Horz">
      <w:rPr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266779" w:themeColor="accent5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66779" w:themeColor="accent5" w:themeShade="95"/>
        <w:sz w:val="22"/>
      </w:rPr>
      <w:tblPr/>
      <w:tcPr>
        <w:shd w:val="clear" w:color="FFFFFF" w:fill="auto"/>
      </w:tcPr>
    </w:tblStylePr>
    <w:tblStylePr w:type="band2Horz">
      <w:rPr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B15407" w:themeColor="accent6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15407" w:themeColor="accent6" w:themeShade="95"/>
        <w:sz w:val="22"/>
      </w:rPr>
      <w:tblPr/>
      <w:tcPr>
        <w:shd w:val="clear" w:color="FFFFFF" w:fill="auto"/>
      </w:tcPr>
    </w:tblStylePr>
    <w:tblStylePr w:type="band2Horz">
      <w:rPr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auto"/>
      </w:tcPr>
    </w:tblStylePr>
    <w:tblStylePr w:type="band1Horz">
      <w:tblPr/>
      <w:tcPr>
        <w:shd w:val="clear" w:color="FFFFFF" w:fill="auto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bottom w:val="single" w:sz="4" w:space="0" w:color="C0504D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bottom w:val="single" w:sz="4" w:space="0" w:color="9BBB59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bottom w:val="single" w:sz="4" w:space="0" w:color="8064A2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bottom w:val="single" w:sz="4" w:space="0" w:color="4BACC6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bottom w:val="single" w:sz="4" w:space="0" w:color="F79646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/>
        <w:sz w:val="22"/>
      </w:rPr>
      <w:tblPr/>
      <w:tcPr>
        <w:shd w:val="clear" w:color="FFFFFF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0504D" w:themeColor="accent2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0504D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0504D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9BBB59" w:themeColor="accent3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9BBB59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BB59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064A2" w:themeColor="accent4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064A2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064A2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BACC6" w:themeColor="accent5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BACC6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BACC6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79646" w:themeColor="accent6"/>
          <w:bottom w:val="single" w:sz="12" w:space="0" w:color="FFFFFF" w:themeColor="light1"/>
        </w:tcBorders>
        <w:shd w:val="clear" w:color="FFFFFF" w:fill="auto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79646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79646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uto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000000" w:themeColor="text1"/>
        <w:sz w:val="22"/>
      </w:rPr>
      <w:tblPr/>
      <w:tcPr>
        <w:shd w:val="clear" w:color="FFFFFF" w:fill="auto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C0504D" w:themeColor="accent2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9BBB59" w:themeColor="accent3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8064A2" w:themeColor="accent4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FFFFF" w:fill="auto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2A4A71" w:themeColor="accent1" w:themeShade="95"/>
        <w:sz w:val="22"/>
      </w:rPr>
      <w:tblPr/>
      <w:tcPr>
        <w:shd w:val="clear" w:color="FFFFFF" w:fill="auto"/>
      </w:tcPr>
    </w:tblStylePr>
    <w:tblStylePr w:type="band2Horz">
      <w:rPr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D99695" w:themeColor="accent2" w:themeTint="97" w:themeShade="95"/>
        <w:sz w:val="22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 w:themeColor="accent2"/>
        </w:tcBorders>
        <w:shd w:val="clear" w:color="FFFFFF" w:fill="auto"/>
      </w:tcPr>
    </w:tblStylePr>
    <w:tblStylePr w:type="lastCol">
      <w:rPr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C0504D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D99695" w:themeColor="accent2" w:themeTint="97" w:themeShade="95"/>
        <w:sz w:val="22"/>
      </w:rPr>
      <w:tblPr/>
      <w:tcPr>
        <w:shd w:val="clear" w:color="FFFFFF" w:fill="auto"/>
      </w:tcPr>
    </w:tblStylePr>
    <w:tblStylePr w:type="band2Horz">
      <w:rPr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C3D69B" w:themeColor="accent3" w:themeTint="98" w:themeShade="95"/>
        <w:sz w:val="22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 w:themeColor="accent3"/>
        </w:tcBorders>
        <w:shd w:val="clear" w:color="FFFFFF" w:fill="auto"/>
      </w:tcPr>
    </w:tblStylePr>
    <w:tblStylePr w:type="lastCol">
      <w:rPr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9BBB59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C3D69B" w:themeColor="accent3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B2A1C6" w:themeColor="accent4" w:themeTint="9A" w:themeShade="95"/>
        <w:sz w:val="22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 w:themeColor="accent4"/>
        </w:tcBorders>
        <w:shd w:val="clear" w:color="FFFFFF" w:fill="auto"/>
      </w:tcPr>
    </w:tblStylePr>
    <w:tblStylePr w:type="lastCol">
      <w:rPr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8064A2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B2A1C6" w:themeColor="accent4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92CCDC" w:themeColor="accent5" w:themeTint="9A" w:themeShade="95"/>
        <w:sz w:val="22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 w:themeColor="accent5"/>
        </w:tcBorders>
        <w:shd w:val="clear" w:color="FFFFFF" w:fill="auto"/>
      </w:tcPr>
    </w:tblStylePr>
    <w:tblStylePr w:type="lastCol">
      <w:rPr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BACC6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92CCDC" w:themeColor="accent5" w:themeTint="9A" w:themeShade="95"/>
        <w:sz w:val="22"/>
      </w:rPr>
      <w:tblPr/>
      <w:tcPr>
        <w:shd w:val="clear" w:color="FFFFFF" w:fill="auto"/>
      </w:tcPr>
    </w:tblStylePr>
    <w:tblStylePr w:type="band2Horz">
      <w:rPr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FAC090" w:themeColor="accent6" w:themeTint="98" w:themeShade="95"/>
        <w:sz w:val="22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 w:themeColor="accent6"/>
        </w:tcBorders>
        <w:shd w:val="clear" w:color="FFFFFF" w:fill="auto"/>
      </w:tcPr>
    </w:tblStylePr>
    <w:tblStylePr w:type="lastCol">
      <w:rPr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79646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auto"/>
      </w:tcPr>
    </w:tblStylePr>
    <w:tblStylePr w:type="band1Horz">
      <w:rPr>
        <w:color w:val="FAC090" w:themeColor="accent6" w:themeTint="98" w:themeShade="95"/>
        <w:sz w:val="22"/>
      </w:rPr>
      <w:tblPr/>
      <w:tcPr>
        <w:shd w:val="clear" w:color="FFFFFF" w:fill="auto"/>
      </w:tcPr>
    </w:tblStylePr>
    <w:tblStylePr w:type="band2Horz">
      <w:rPr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4F81BD" w:themeColor="accent1"/>
        <w:insideV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C0504D" w:themeColor="accent2"/>
        <w:insideV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9BBB59" w:themeColor="accent3"/>
        <w:insideV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8064A2" w:themeColor="accent4"/>
        <w:insideV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F2F2F2"/>
        <w:sz w:val="22"/>
      </w:rPr>
      <w:tblPr/>
      <w:tcPr>
        <w:shd w:val="clear" w:color="FFFFFF" w:fill="auto"/>
      </w:tcPr>
    </w:tblStylePr>
    <w:tblStylePr w:type="lastRow">
      <w:rPr>
        <w:color w:val="F2F2F2"/>
        <w:sz w:val="22"/>
      </w:rPr>
      <w:tblPr/>
      <w:tcPr>
        <w:shd w:val="clear" w:color="FFFFFF" w:fill="auto"/>
      </w:tcPr>
    </w:tblStylePr>
    <w:tblStylePr w:type="firstCol">
      <w:rPr>
        <w:color w:val="F2F2F2"/>
        <w:sz w:val="22"/>
      </w:rPr>
      <w:tblPr/>
      <w:tcPr>
        <w:shd w:val="clear" w:color="FFFFFF" w:fill="auto"/>
      </w:tcPr>
    </w:tblStylePr>
    <w:tblStylePr w:type="lastCol">
      <w:rPr>
        <w:color w:val="F2F2F2"/>
        <w:sz w:val="22"/>
      </w:rPr>
      <w:tblPr/>
      <w:tcPr>
        <w:shd w:val="clear" w:color="FFFFFF" w:fill="auto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auto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auto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C0504D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9BBB59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8064A2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penkov</dc:creator>
  <cp:lastModifiedBy>Трофимова Л.В.</cp:lastModifiedBy>
  <cp:revision>2</cp:revision>
  <cp:lastPrinted>2023-07-11T09:16:00Z</cp:lastPrinted>
  <dcterms:created xsi:type="dcterms:W3CDTF">2023-07-11T05:31:00Z</dcterms:created>
  <dcterms:modified xsi:type="dcterms:W3CDTF">2023-07-11T05:31:00Z</dcterms:modified>
  <dc:language>ru-RU</dc:language>
</cp:coreProperties>
</file>