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25" w:rsidRPr="00CF3C16" w:rsidRDefault="00516E25" w:rsidP="00516E25">
      <w:pPr>
        <w:pStyle w:val="a3"/>
        <w:rPr>
          <w:sz w:val="20"/>
          <w:szCs w:val="20"/>
        </w:rPr>
      </w:pPr>
      <w:r w:rsidRPr="00CF3C16">
        <w:rPr>
          <w:sz w:val="20"/>
          <w:szCs w:val="20"/>
        </w:rPr>
        <w:t>Россия постепенно движется к званию главного экспортёра зерновых культур. Благодаря этому в бюджет страны стабильно поступают денежные средства. Приоритетной задачей государства является наращивание объемов экспортируемого зерна.</w:t>
      </w:r>
    </w:p>
    <w:p w:rsidR="00516E25" w:rsidRPr="00CF3C16" w:rsidRDefault="00516E25" w:rsidP="00516E25">
      <w:pPr>
        <w:pStyle w:val="a3"/>
        <w:rPr>
          <w:sz w:val="20"/>
          <w:szCs w:val="20"/>
        </w:rPr>
      </w:pPr>
      <w:r w:rsidRPr="00CF3C16">
        <w:rPr>
          <w:sz w:val="20"/>
          <w:szCs w:val="20"/>
        </w:rPr>
        <w:t xml:space="preserve">Для осуществления экспорта зерна требуется знать все правила. Этот вид деятельности связан с обязательным </w:t>
      </w:r>
      <w:hyperlink r:id="rId5" w:history="1">
        <w:r w:rsidRPr="00CF3C16">
          <w:rPr>
            <w:rStyle w:val="a4"/>
            <w:color w:val="auto"/>
            <w:sz w:val="20"/>
            <w:szCs w:val="20"/>
          </w:rPr>
          <w:t>прохождением таможенного контроля</w:t>
        </w:r>
      </w:hyperlink>
      <w:r w:rsidRPr="00CF3C16">
        <w:rPr>
          <w:sz w:val="20"/>
          <w:szCs w:val="20"/>
        </w:rPr>
        <w:t>. Рассмотрим детально процесс экспорта зерновых культур и используемые при этом нормативные документы.</w:t>
      </w:r>
    </w:p>
    <w:p w:rsidR="00516E25" w:rsidRPr="00516E25" w:rsidRDefault="00516E25" w:rsidP="00516E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516E2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Нормативное регулирование</w:t>
      </w:r>
    </w:p>
    <w:p w:rsidR="00516E25" w:rsidRPr="00516E25" w:rsidRDefault="00516E25" w:rsidP="00CF3C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E25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Осуществление деятельности по экспорту зерновых культур подвергается нормативному регулированию таможенного кодекса таможенного союза. Его обязаны соблюдать все участники союза. Для каждого отдельного государства, участвующего в ТК ТС, допускается внесение дополнительных законов об экспорте. При условии, что они не прописаны непосредственно в ТК ТС и не противоречат им. В случае принятия таких законов, они будут действовать исключительно на территории государства, которое их приняло.</w:t>
      </w:r>
    </w:p>
    <w:p w:rsidR="00516E25" w:rsidRPr="00516E25" w:rsidRDefault="00516E25" w:rsidP="00CF3C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E25">
        <w:rPr>
          <w:rFonts w:ascii="Times New Roman" w:eastAsia="Times New Roman" w:hAnsi="Times New Roman" w:cs="Times New Roman"/>
          <w:sz w:val="20"/>
          <w:szCs w:val="20"/>
          <w:lang w:eastAsia="ru-RU"/>
        </w:rPr>
        <w:t>Базовыми принципами нормативного регулирования экспорта зерновых культур являются:</w:t>
      </w:r>
    </w:p>
    <w:p w:rsidR="00516E25" w:rsidRPr="00516E25" w:rsidRDefault="00516E25" w:rsidP="00CF3C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E25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Транспортировка продукции в пределах стран, участвующих в союзе, должно осуществляться беспрепятственно и без начисления пошлин.</w:t>
      </w:r>
    </w:p>
    <w:p w:rsidR="00516E25" w:rsidRPr="00516E25" w:rsidRDefault="00516E25" w:rsidP="00CF3C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E25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участники экспорта зерновой продукции должны быть зарегистрированы в специальном реестре — начиная от водителей, заканчивая владельцем продукции.</w:t>
      </w:r>
    </w:p>
    <w:p w:rsidR="00516E25" w:rsidRPr="00516E25" w:rsidRDefault="00516E25" w:rsidP="00CF3C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E25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Перевозка продукции непосредственно через границу должна осуществляться в специализированных таможенных постах.</w:t>
      </w:r>
    </w:p>
    <w:p w:rsidR="00516E25" w:rsidRPr="00516E25" w:rsidRDefault="00516E25" w:rsidP="00516E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таможенном кодексе прописаны все детали по </w:t>
      </w:r>
      <w:hyperlink r:id="rId6" w:history="1">
        <w:r w:rsidRPr="00CF3C1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осуществлению экспорта продукции</w:t>
        </w:r>
      </w:hyperlink>
      <w:r w:rsidRPr="00516E2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516E25" w:rsidRPr="00CF3C16" w:rsidRDefault="00516E25" w:rsidP="00516E25">
      <w:pPr>
        <w:pStyle w:val="2"/>
        <w:rPr>
          <w:sz w:val="20"/>
          <w:szCs w:val="20"/>
        </w:rPr>
      </w:pPr>
      <w:r w:rsidRPr="00CF3C16">
        <w:rPr>
          <w:sz w:val="20"/>
          <w:szCs w:val="20"/>
        </w:rPr>
        <w:t>Экспорт зерна</w:t>
      </w:r>
    </w:p>
    <w:p w:rsidR="00CF3C16" w:rsidRPr="00CF3C16" w:rsidRDefault="00516E25" w:rsidP="00516E25">
      <w:pPr>
        <w:pStyle w:val="a3"/>
        <w:rPr>
          <w:sz w:val="20"/>
          <w:szCs w:val="20"/>
        </w:rPr>
      </w:pPr>
      <w:r w:rsidRPr="00CF3C16">
        <w:rPr>
          <w:noProof/>
          <w:sz w:val="20"/>
          <w:szCs w:val="20"/>
        </w:rPr>
        <w:drawing>
          <wp:inline distT="0" distB="0" distL="0" distR="0">
            <wp:extent cx="2860040" cy="1799590"/>
            <wp:effectExtent l="19050" t="0" r="0" b="0"/>
            <wp:docPr id="1" name="Рисунок 1" descr="Экспорт зер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орт зер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Экспорт зерновых культур является самой доходной статьёй бюджета Российской Федерации среди продовольственных товаров. Наибольшую часть экспорта составляет пшеница, затем кукуруза и ячмень.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Процедура экспорта зерна представляет собой вывоз продукции за пределы территории России для её реализации. За осуществлением процедуры ведётся контроль, согласно таможенному кодексу. Также потребуется внести в фонд государства установленные пошлины.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Процесс по вывозу зерновых культур может происходить с использованием таких видов транспорта:</w:t>
      </w:r>
    </w:p>
    <w:p w:rsidR="00516E25" w:rsidRPr="00CF3C16" w:rsidRDefault="005D0439" w:rsidP="00516E25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0"/>
          <w:szCs w:val="20"/>
        </w:rPr>
      </w:pPr>
      <w:hyperlink r:id="rId8" w:history="1">
        <w:r w:rsidR="00516E25" w:rsidRPr="00CF3C16">
          <w:rPr>
            <w:rStyle w:val="a5"/>
            <w:color w:val="0000FF"/>
            <w:sz w:val="20"/>
            <w:szCs w:val="20"/>
            <w:u w:val="single"/>
          </w:rPr>
          <w:t>Автотранспорт</w:t>
        </w:r>
      </w:hyperlink>
      <w:r w:rsidR="00516E25" w:rsidRPr="00CF3C16">
        <w:rPr>
          <w:sz w:val="20"/>
          <w:szCs w:val="20"/>
        </w:rPr>
        <w:t xml:space="preserve"> – применяются грузовые типы машин с цистернами, бортами или автопоездами. Они должны оснащаться вентиляцией и находиться в чистоте.</w:t>
      </w:r>
    </w:p>
    <w:p w:rsidR="00516E25" w:rsidRPr="00CF3C16" w:rsidRDefault="005D0439" w:rsidP="00516E25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0"/>
          <w:szCs w:val="20"/>
        </w:rPr>
      </w:pPr>
      <w:hyperlink r:id="rId9" w:history="1">
        <w:r w:rsidR="00516E25" w:rsidRPr="00CF3C16">
          <w:rPr>
            <w:rStyle w:val="a5"/>
            <w:color w:val="0000FF"/>
            <w:sz w:val="20"/>
            <w:szCs w:val="20"/>
            <w:u w:val="single"/>
          </w:rPr>
          <w:t>Железнодорожный транспорт</w:t>
        </w:r>
      </w:hyperlink>
      <w:r w:rsidR="00516E25" w:rsidRPr="00CF3C16">
        <w:rPr>
          <w:sz w:val="20"/>
          <w:szCs w:val="20"/>
        </w:rPr>
        <w:t xml:space="preserve"> – перевозка осуществляется посредством специализированных вагонов. Данный вариант является очень экономичным и позволяет транспортировать большие объёмы зерна.</w:t>
      </w:r>
    </w:p>
    <w:p w:rsidR="00516E25" w:rsidRPr="00CF3C16" w:rsidRDefault="005D0439" w:rsidP="00516E25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0"/>
          <w:szCs w:val="20"/>
        </w:rPr>
      </w:pPr>
      <w:hyperlink r:id="rId10" w:history="1">
        <w:r w:rsidR="00516E25" w:rsidRPr="00CF3C16">
          <w:rPr>
            <w:rStyle w:val="a5"/>
            <w:color w:val="0000FF"/>
            <w:sz w:val="20"/>
            <w:szCs w:val="20"/>
            <w:u w:val="single"/>
          </w:rPr>
          <w:t>Морской транспорт</w:t>
        </w:r>
      </w:hyperlink>
      <w:r w:rsidR="00516E25" w:rsidRPr="00CF3C16">
        <w:rPr>
          <w:sz w:val="20"/>
          <w:szCs w:val="20"/>
        </w:rPr>
        <w:t xml:space="preserve"> – зерно перевозится в специализированных цистернах на предназначенных для этого кораблях.</w:t>
      </w:r>
    </w:p>
    <w:p w:rsidR="00516E25" w:rsidRPr="00CF3C16" w:rsidRDefault="00516E25" w:rsidP="00516E25">
      <w:pPr>
        <w:pStyle w:val="3"/>
        <w:rPr>
          <w:sz w:val="20"/>
          <w:szCs w:val="20"/>
          <w:u w:val="single"/>
        </w:rPr>
      </w:pPr>
      <w:r w:rsidRPr="00CF3C16">
        <w:rPr>
          <w:sz w:val="20"/>
          <w:szCs w:val="20"/>
          <w:u w:val="single"/>
        </w:rPr>
        <w:lastRenderedPageBreak/>
        <w:t>Что платить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 xml:space="preserve">При экспорте зерновых культур </w:t>
      </w:r>
      <w:hyperlink r:id="rId11" w:history="1">
        <w:r w:rsidRPr="00CF3C16">
          <w:rPr>
            <w:rStyle w:val="a4"/>
            <w:color w:val="auto"/>
            <w:sz w:val="20"/>
            <w:szCs w:val="20"/>
          </w:rPr>
          <w:t>понадобится оплатить вывозную пошлину</w:t>
        </w:r>
      </w:hyperlink>
      <w:r w:rsidRPr="00CF3C16">
        <w:rPr>
          <w:sz w:val="20"/>
          <w:szCs w:val="20"/>
        </w:rPr>
        <w:t>. Она представляет собой плату за перенаправление продукции за пределы территории России. При этом оплачиваемая пошлина может иметь различные размеры.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 xml:space="preserve">Это зависит от </w:t>
      </w:r>
      <w:hyperlink r:id="rId12" w:history="1">
        <w:r w:rsidRPr="00CF3C16">
          <w:rPr>
            <w:rStyle w:val="a4"/>
            <w:color w:val="auto"/>
            <w:sz w:val="20"/>
            <w:szCs w:val="20"/>
          </w:rPr>
          <w:t>вида применяемой к экспортеру ставки</w:t>
        </w:r>
      </w:hyperlink>
      <w:r w:rsidRPr="00CF3C16">
        <w:rPr>
          <w:sz w:val="20"/>
          <w:szCs w:val="20"/>
        </w:rPr>
        <w:t xml:space="preserve">, которая назначается государством. Могут устанавливаться следующие виды ставок: </w:t>
      </w:r>
      <w:proofErr w:type="gramStart"/>
      <w:r w:rsidRPr="00CF3C16">
        <w:rPr>
          <w:sz w:val="20"/>
          <w:szCs w:val="20"/>
        </w:rPr>
        <w:t>адвалорная</w:t>
      </w:r>
      <w:proofErr w:type="gramEnd"/>
      <w:r w:rsidRPr="00CF3C16">
        <w:rPr>
          <w:sz w:val="20"/>
          <w:szCs w:val="20"/>
        </w:rPr>
        <w:t>, специфическая, комбинированная. При этом размер пошлины определяется в рублевом эквиваленте.</w:t>
      </w:r>
    </w:p>
    <w:p w:rsidR="00516E25" w:rsidRPr="00CF3C16" w:rsidRDefault="00516E25" w:rsidP="00CF3C16">
      <w:pPr>
        <w:jc w:val="both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Помимо пошлины за вывоз, потребуется уплатить таможенный сбор.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Также возможно предоставление государством льгот. Среди них:</w:t>
      </w:r>
    </w:p>
    <w:p w:rsidR="00516E25" w:rsidRPr="00CF3C16" w:rsidRDefault="005D0439" w:rsidP="00516E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hyperlink r:id="rId13" w:history="1">
        <w:r w:rsidR="00516E25" w:rsidRPr="00CF3C16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полное исключение платы</w:t>
        </w:r>
      </w:hyperlink>
      <w:r w:rsidR="00516E25" w:rsidRPr="00CF3C16">
        <w:rPr>
          <w:rFonts w:ascii="Times New Roman" w:hAnsi="Times New Roman" w:cs="Times New Roman"/>
          <w:sz w:val="20"/>
          <w:szCs w:val="20"/>
        </w:rPr>
        <w:t>;</w:t>
      </w:r>
    </w:p>
    <w:p w:rsidR="00516E25" w:rsidRPr="00CF3C16" w:rsidRDefault="00516E25" w:rsidP="00516E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частичное снижение ставки;</w:t>
      </w:r>
    </w:p>
    <w:p w:rsidR="00516E25" w:rsidRPr="00CF3C16" w:rsidRDefault="005D0439" w:rsidP="00516E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hyperlink r:id="rId14" w:history="1">
        <w:r w:rsidR="00516E25" w:rsidRPr="00CF3C16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предоставление тарифных квот</w:t>
        </w:r>
      </w:hyperlink>
      <w:r w:rsidR="00516E25" w:rsidRPr="00CF3C16">
        <w:rPr>
          <w:rFonts w:ascii="Times New Roman" w:hAnsi="Times New Roman" w:cs="Times New Roman"/>
          <w:sz w:val="20"/>
          <w:szCs w:val="20"/>
        </w:rPr>
        <w:t>;</w:t>
      </w:r>
    </w:p>
    <w:p w:rsidR="00516E25" w:rsidRPr="00CF3C16" w:rsidRDefault="00516E25" w:rsidP="00516E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компенсация за ранее внесенную пошлину.</w:t>
      </w:r>
    </w:p>
    <w:p w:rsidR="00516E25" w:rsidRPr="00CF3C16" w:rsidRDefault="00516E25" w:rsidP="00516E25">
      <w:pPr>
        <w:pStyle w:val="3"/>
        <w:rPr>
          <w:sz w:val="20"/>
          <w:szCs w:val="20"/>
          <w:u w:val="single"/>
        </w:rPr>
      </w:pPr>
      <w:r w:rsidRPr="00CF3C16">
        <w:rPr>
          <w:sz w:val="20"/>
          <w:szCs w:val="20"/>
          <w:u w:val="single"/>
        </w:rPr>
        <w:t>Документы</w:t>
      </w:r>
    </w:p>
    <w:p w:rsidR="00CF3C16" w:rsidRPr="00CF3C16" w:rsidRDefault="00516E25" w:rsidP="00516E25">
      <w:pPr>
        <w:pStyle w:val="a3"/>
        <w:rPr>
          <w:sz w:val="20"/>
          <w:szCs w:val="20"/>
        </w:rPr>
      </w:pPr>
      <w:r w:rsidRPr="00CF3C16">
        <w:rPr>
          <w:sz w:val="20"/>
          <w:szCs w:val="20"/>
        </w:rPr>
        <w:t xml:space="preserve">При экспорте зерна потребуется подготовить соответствующий пакет документации. </w:t>
      </w:r>
    </w:p>
    <w:p w:rsidR="00516E25" w:rsidRPr="00CF3C16" w:rsidRDefault="00516E25" w:rsidP="00516E25">
      <w:pPr>
        <w:pStyle w:val="a3"/>
        <w:rPr>
          <w:sz w:val="20"/>
          <w:szCs w:val="20"/>
        </w:rPr>
      </w:pPr>
      <w:r w:rsidRPr="00CF3C16">
        <w:rPr>
          <w:sz w:val="20"/>
          <w:szCs w:val="20"/>
        </w:rPr>
        <w:t>Он необходим для прохождения таможенного контроля. В него входят:</w:t>
      </w:r>
    </w:p>
    <w:p w:rsidR="00516E25" w:rsidRPr="00CF3C16" w:rsidRDefault="005D0439" w:rsidP="00516E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hyperlink r:id="rId15" w:history="1">
        <w:r w:rsidR="00516E25" w:rsidRPr="00CF3C16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фитосанитарный сертификат</w:t>
        </w:r>
      </w:hyperlink>
      <w:r w:rsidR="00516E25" w:rsidRPr="00CF3C16">
        <w:rPr>
          <w:rFonts w:ascii="Times New Roman" w:hAnsi="Times New Roman" w:cs="Times New Roman"/>
          <w:sz w:val="20"/>
          <w:szCs w:val="20"/>
        </w:rPr>
        <w:t>;</w:t>
      </w:r>
    </w:p>
    <w:p w:rsidR="00516E25" w:rsidRPr="00CF3C16" w:rsidRDefault="00516E25" w:rsidP="00516E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 xml:space="preserve">сертификат, </w:t>
      </w:r>
      <w:hyperlink r:id="rId16" w:history="1">
        <w:r w:rsidRPr="00CF3C16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подтверждающий качество продукции</w:t>
        </w:r>
      </w:hyperlink>
      <w:r w:rsidRPr="00CF3C16">
        <w:rPr>
          <w:rFonts w:ascii="Times New Roman" w:hAnsi="Times New Roman" w:cs="Times New Roman"/>
          <w:sz w:val="20"/>
          <w:szCs w:val="20"/>
        </w:rPr>
        <w:t>;</w:t>
      </w:r>
    </w:p>
    <w:p w:rsidR="00516E25" w:rsidRPr="00CF3C16" w:rsidRDefault="005D0439" w:rsidP="00516E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hyperlink r:id="rId17" w:history="1">
        <w:r w:rsidR="00516E25" w:rsidRPr="00CF3C16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декларация</w:t>
        </w:r>
      </w:hyperlink>
      <w:r w:rsidR="00516E25" w:rsidRPr="00CF3C16">
        <w:rPr>
          <w:rFonts w:ascii="Times New Roman" w:hAnsi="Times New Roman" w:cs="Times New Roman"/>
          <w:sz w:val="20"/>
          <w:szCs w:val="20"/>
        </w:rPr>
        <w:t xml:space="preserve">, </w:t>
      </w:r>
      <w:hyperlink r:id="rId18" w:history="1">
        <w:r w:rsidR="00516E25" w:rsidRPr="00CF3C16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сертификат соответствия</w:t>
        </w:r>
      </w:hyperlink>
      <w:r w:rsidR="00516E25" w:rsidRPr="00CF3C16">
        <w:rPr>
          <w:rFonts w:ascii="Times New Roman" w:hAnsi="Times New Roman" w:cs="Times New Roman"/>
          <w:sz w:val="20"/>
          <w:szCs w:val="20"/>
        </w:rPr>
        <w:t>.</w:t>
      </w:r>
    </w:p>
    <w:p w:rsidR="00516E25" w:rsidRPr="00CF3C16" w:rsidRDefault="00516E25" w:rsidP="00516E25">
      <w:pPr>
        <w:pStyle w:val="a3"/>
        <w:rPr>
          <w:sz w:val="20"/>
          <w:szCs w:val="20"/>
        </w:rPr>
      </w:pPr>
      <w:r w:rsidRPr="00CF3C16">
        <w:rPr>
          <w:sz w:val="20"/>
          <w:szCs w:val="20"/>
        </w:rPr>
        <w:t>Допускается предоставлять декларацию на бумажном носителе или в электронном виде. Она представляет собой бланк, в котором отражается такая информация:</w:t>
      </w:r>
    </w:p>
    <w:p w:rsidR="00516E25" w:rsidRPr="00CF3C16" w:rsidRDefault="00516E25" w:rsidP="00516E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о продукции;</w:t>
      </w:r>
    </w:p>
    <w:p w:rsidR="00516E25" w:rsidRPr="00CF3C16" w:rsidRDefault="005D0439" w:rsidP="00516E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hyperlink r:id="rId19" w:history="1">
        <w:r w:rsidR="00516E25" w:rsidRPr="00CF3C16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внешнеторговой операции</w:t>
        </w:r>
      </w:hyperlink>
      <w:r w:rsidR="00516E25" w:rsidRPr="00CF3C16">
        <w:rPr>
          <w:rFonts w:ascii="Times New Roman" w:hAnsi="Times New Roman" w:cs="Times New Roman"/>
          <w:sz w:val="20"/>
          <w:szCs w:val="20"/>
        </w:rPr>
        <w:t>;</w:t>
      </w:r>
    </w:p>
    <w:p w:rsidR="00516E25" w:rsidRPr="00CF3C16" w:rsidRDefault="00516E25" w:rsidP="00516E25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об отправителе (владельце) и получателе товара</w:t>
      </w:r>
      <w:r w:rsidRPr="00CF3C16">
        <w:rPr>
          <w:sz w:val="20"/>
          <w:szCs w:val="20"/>
        </w:rPr>
        <w:t>.</w:t>
      </w:r>
    </w:p>
    <w:p w:rsidR="00C05034" w:rsidRPr="00CF3C16" w:rsidRDefault="00516E25" w:rsidP="00CF3C16">
      <w:pPr>
        <w:jc w:val="both"/>
        <w:rPr>
          <w:sz w:val="20"/>
          <w:szCs w:val="20"/>
        </w:rPr>
      </w:pPr>
      <w:r w:rsidRPr="00CF3C16">
        <w:rPr>
          <w:rStyle w:val="a5"/>
          <w:sz w:val="20"/>
          <w:szCs w:val="20"/>
        </w:rPr>
        <w:t>Для зерна применима единица измерения в тоннах.</w:t>
      </w:r>
      <w:r w:rsidRPr="00CF3C16">
        <w:rPr>
          <w:sz w:val="20"/>
          <w:szCs w:val="20"/>
        </w:rPr>
        <w:t xml:space="preserve"> Заполнять бланк потребуется в трёх экземплярах. Необходимо учитывать, что каждая партия, оформляемая отдельно, должна сопровождаться своими декларациями. По факту завершения проверки предоставленного пакета документации, владельцу продукции выдаётся один бланк декларации. В нем проставлены все требуемые печати.</w:t>
      </w:r>
    </w:p>
    <w:p w:rsidR="00516E25" w:rsidRPr="00CF3C16" w:rsidRDefault="00516E25" w:rsidP="00516E25">
      <w:pPr>
        <w:pStyle w:val="3"/>
        <w:rPr>
          <w:sz w:val="20"/>
          <w:szCs w:val="20"/>
          <w:u w:val="single"/>
        </w:rPr>
      </w:pPr>
      <w:r w:rsidRPr="00CF3C16">
        <w:rPr>
          <w:sz w:val="20"/>
          <w:szCs w:val="20"/>
          <w:u w:val="single"/>
        </w:rPr>
        <w:t>Какое оформление осуществить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Допускается выполнять два вида оформления экспортной зерновой продукции. Оба варианта предполагают прохождение таможенного контроля. В первом случае продукция оформляется по месту проживания владельца. Также допускается оформить груз в других таможенных постах, но должны быть выполнены определенные требования. При этом будет взиматься повышенный таможенный сбор.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Сама процедура оформления экспорта зерновых культур состоит из нескольких этапов:</w:t>
      </w:r>
    </w:p>
    <w:p w:rsidR="00516E25" w:rsidRPr="00CF3C16" w:rsidRDefault="00516E25" w:rsidP="00516E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Предоставление продукции для таможенного контроля;</w:t>
      </w:r>
    </w:p>
    <w:p w:rsidR="00516E25" w:rsidRPr="00CF3C16" w:rsidRDefault="00516E25" w:rsidP="00516E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Оформление требуемого пакета документации;</w:t>
      </w:r>
    </w:p>
    <w:p w:rsidR="00516E25" w:rsidRPr="00CF3C16" w:rsidRDefault="00516E25" w:rsidP="00516E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CF3C16">
        <w:rPr>
          <w:rFonts w:ascii="Times New Roman" w:hAnsi="Times New Roman" w:cs="Times New Roman"/>
          <w:sz w:val="20"/>
          <w:szCs w:val="20"/>
        </w:rPr>
        <w:t>Уплата установленных взносов.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Все операции производятся согласно таможенному кодексу таможенного союза. При отсутствии определенной базы знаний, рекомендуется использовать услуги посреднических компаний. За отдельную плату, они выполнят все требуемые действия, что позволит сохранить время и денежные средства.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lastRenderedPageBreak/>
        <w:t xml:space="preserve">На этапе предоставления продукции происходит предварительное </w:t>
      </w:r>
      <w:r w:rsidR="00CF3C16" w:rsidRPr="00CF3C16">
        <w:rPr>
          <w:sz w:val="20"/>
          <w:szCs w:val="20"/>
        </w:rPr>
        <w:t xml:space="preserve"> </w:t>
      </w:r>
      <w:r w:rsidRPr="00CF3C16">
        <w:rPr>
          <w:sz w:val="20"/>
          <w:szCs w:val="20"/>
        </w:rPr>
        <w:t xml:space="preserve"> ознакомление таможенной службы с грузом. По факту прибытия продукции на таможенный пост, понадобится известить службу об этом в течение 30 минут. Далее потребуется ждать, когда продукцию попросят </w:t>
      </w:r>
      <w:hyperlink r:id="rId20" w:history="1">
        <w:r w:rsidRPr="00CF3C16">
          <w:rPr>
            <w:rStyle w:val="a4"/>
            <w:color w:val="auto"/>
            <w:sz w:val="20"/>
            <w:szCs w:val="20"/>
          </w:rPr>
          <w:t>предъявить к осмотру</w:t>
        </w:r>
      </w:hyperlink>
      <w:r w:rsidRPr="00CF3C16">
        <w:rPr>
          <w:sz w:val="20"/>
          <w:szCs w:val="20"/>
        </w:rPr>
        <w:t>. На протяжении этого периода времени, вся ответственность за продукцию лежит на перевозчике.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В дальнейшем происходит заполнение и подача декларации, которая сопровождается взносом обязательных платежей.</w:t>
      </w:r>
    </w:p>
    <w:p w:rsidR="00516E25" w:rsidRPr="00CF3C16" w:rsidRDefault="00516E25" w:rsidP="00516E25">
      <w:pPr>
        <w:pStyle w:val="3"/>
        <w:rPr>
          <w:sz w:val="20"/>
          <w:szCs w:val="20"/>
          <w:u w:val="single"/>
        </w:rPr>
      </w:pPr>
      <w:r w:rsidRPr="00CF3C16">
        <w:rPr>
          <w:sz w:val="20"/>
          <w:szCs w:val="20"/>
          <w:u w:val="single"/>
        </w:rPr>
        <w:t>Ограничения и правила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Для осуществления ограничения на экспорт зерновых культур правительством Российской Федерации могут применяться следующие меры: тарифные и нетарифные способы регулирования ограничений.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К первому виду ограничения относится ввод экспортных пошлин. В настоящее время они отсутствуют. Но были использованы в 2015 году, тогда их размер составлял 15 процентов для пшеницы. Экспортная пошлина была отменена в сентябре 2016 года. При этом согласно принятым документам при вступлении России в ВТО, страна обязалась не допускать рост экспортных пошлин или полностью отказаться от них. Также не допускается ввод каких-либо ограничений на количество экспортируемой продукции.</w:t>
      </w:r>
    </w:p>
    <w:p w:rsid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rStyle w:val="a5"/>
          <w:sz w:val="20"/>
          <w:szCs w:val="20"/>
        </w:rPr>
        <w:t>Нетарифные меры по ограничению экспорта зерновых культур позволяют полностью осуществить запрет на вывоз продукции за пределы территории России.</w:t>
      </w:r>
      <w:r w:rsidRPr="00CF3C16">
        <w:rPr>
          <w:sz w:val="20"/>
          <w:szCs w:val="20"/>
        </w:rPr>
        <w:t xml:space="preserve"> Данная возможность прописана в правилах ЕАЭС. Максимальный срок такого ограничения не может превышать полугода. Такая мера была принята правительством РФ в 2010 году, в связи с малой урожайностью зерновых культур.</w:t>
      </w:r>
    </w:p>
    <w:p w:rsidR="00516E25" w:rsidRPr="00CF3C16" w:rsidRDefault="00516E25" w:rsidP="00CF3C16">
      <w:pPr>
        <w:pStyle w:val="a3"/>
        <w:jc w:val="both"/>
        <w:rPr>
          <w:b/>
          <w:sz w:val="20"/>
          <w:szCs w:val="20"/>
          <w:u w:val="single"/>
        </w:rPr>
      </w:pPr>
      <w:r w:rsidRPr="00CF3C16">
        <w:rPr>
          <w:b/>
          <w:sz w:val="20"/>
          <w:szCs w:val="20"/>
          <w:u w:val="single"/>
        </w:rPr>
        <w:t>Ответственность и последствия</w:t>
      </w:r>
    </w:p>
    <w:p w:rsidR="00CF3C16" w:rsidRPr="00CF3C16" w:rsidRDefault="00516E25" w:rsidP="00516E25">
      <w:pPr>
        <w:pStyle w:val="a3"/>
        <w:rPr>
          <w:sz w:val="20"/>
          <w:szCs w:val="20"/>
        </w:rPr>
      </w:pPr>
      <w:r w:rsidRPr="00CF3C16">
        <w:rPr>
          <w:noProof/>
          <w:sz w:val="20"/>
          <w:szCs w:val="20"/>
        </w:rPr>
        <w:drawing>
          <wp:inline distT="0" distB="0" distL="0" distR="0">
            <wp:extent cx="2860040" cy="1916430"/>
            <wp:effectExtent l="19050" t="0" r="0" b="0"/>
            <wp:docPr id="3" name="Рисунок 3" descr="При осуществлении экспорта зерновых культур перевозчик несёт ответственность за доставку продук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 осуществлении экспорта зерновых культур перевозчик несёт ответственность за доставку продукции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91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 xml:space="preserve">При осуществлении экспорта зерновых культур перевозчик несёт ответственность за доставку продукции. Она регламентируется страной его пребывания. При предоставлении груза на таможне, перевозчику запрещается осуществлять какие-либо передвижения транспорта без разрешения, покидать транспорт, как следствие, оставляя перевозимый груз без контроля, самостоятельно разгружать продукцию. В случае наблюдения самостоятельных действий перевозчиком, он </w:t>
      </w:r>
      <w:proofErr w:type="gramStart"/>
      <w:r w:rsidRPr="00CF3C16">
        <w:rPr>
          <w:sz w:val="20"/>
          <w:szCs w:val="20"/>
        </w:rPr>
        <w:t>подвергается административной ответственности</w:t>
      </w:r>
      <w:proofErr w:type="gramEnd"/>
      <w:r w:rsidRPr="00CF3C16">
        <w:rPr>
          <w:sz w:val="20"/>
          <w:szCs w:val="20"/>
        </w:rPr>
        <w:t xml:space="preserve">, согласно соответствующим статьям </w:t>
      </w:r>
      <w:proofErr w:type="spellStart"/>
      <w:r w:rsidRPr="00CF3C16">
        <w:rPr>
          <w:sz w:val="20"/>
          <w:szCs w:val="20"/>
        </w:rPr>
        <w:t>КоАП</w:t>
      </w:r>
      <w:proofErr w:type="spellEnd"/>
      <w:r w:rsidRPr="00CF3C16">
        <w:rPr>
          <w:sz w:val="20"/>
          <w:szCs w:val="20"/>
        </w:rPr>
        <w:t xml:space="preserve"> РФ.</w:t>
      </w:r>
    </w:p>
    <w:p w:rsidR="00516E25" w:rsidRPr="00CF3C16" w:rsidRDefault="00516E25" w:rsidP="00CF3C16">
      <w:pPr>
        <w:pStyle w:val="a3"/>
        <w:jc w:val="both"/>
        <w:rPr>
          <w:sz w:val="20"/>
          <w:szCs w:val="20"/>
        </w:rPr>
      </w:pPr>
      <w:r w:rsidRPr="00CF3C16">
        <w:rPr>
          <w:sz w:val="20"/>
          <w:szCs w:val="20"/>
        </w:rPr>
        <w:t>Экспорт зерна имеет огромное значение для развития бюджета страны. При знании всех тонкостей перевозки продукции за территорию РФ процедура экспортирования не вызовет особых проблем.</w:t>
      </w:r>
    </w:p>
    <w:p w:rsidR="00516E25" w:rsidRPr="00CF3C16" w:rsidRDefault="00516E25">
      <w:pPr>
        <w:rPr>
          <w:sz w:val="20"/>
          <w:szCs w:val="20"/>
        </w:rPr>
      </w:pPr>
    </w:p>
    <w:sectPr w:rsidR="00516E25" w:rsidRPr="00CF3C16" w:rsidSect="00C05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61469"/>
    <w:multiLevelType w:val="multilevel"/>
    <w:tmpl w:val="8F02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C12467"/>
    <w:multiLevelType w:val="multilevel"/>
    <w:tmpl w:val="8968D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B8620B"/>
    <w:multiLevelType w:val="multilevel"/>
    <w:tmpl w:val="081A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3F083F"/>
    <w:multiLevelType w:val="multilevel"/>
    <w:tmpl w:val="02F4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D05A12"/>
    <w:multiLevelType w:val="multilevel"/>
    <w:tmpl w:val="3A7AC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AB24EA"/>
    <w:multiLevelType w:val="multilevel"/>
    <w:tmpl w:val="4B0CA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16E25"/>
    <w:rsid w:val="00516E25"/>
    <w:rsid w:val="005D0439"/>
    <w:rsid w:val="00693E1E"/>
    <w:rsid w:val="00C05034"/>
    <w:rsid w:val="00CF3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034"/>
  </w:style>
  <w:style w:type="paragraph" w:styleId="2">
    <w:name w:val="heading 2"/>
    <w:basedOn w:val="a"/>
    <w:link w:val="20"/>
    <w:uiPriority w:val="9"/>
    <w:qFormat/>
    <w:rsid w:val="00516E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E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16E2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16E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16E2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516E2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16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6E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2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riston.com/tamozhennoe-pravo/perevozki/gruzy/avtomobilnym-transportom.html" TargetMode="External"/><Relationship Id="rId13" Type="http://schemas.openxmlformats.org/officeDocument/2006/relationships/hyperlink" Target="http://uriston.com/tamozhennoe-pravo/oformlenie/poshliny-i-sbory/osvobozhdenie-ot-platy.html" TargetMode="External"/><Relationship Id="rId18" Type="http://schemas.openxmlformats.org/officeDocument/2006/relationships/hyperlink" Target="http://uriston.com/tamozhennoe-pravo/oformlenie/soprovoditelnaya-dokumentatsiya/sertifikat-sootvetstviya-tamozhennogo-soyuza.htm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image" Target="media/image1.jpeg"/><Relationship Id="rId12" Type="http://schemas.openxmlformats.org/officeDocument/2006/relationships/hyperlink" Target="http://uriston.com/tamozhennoe-pravo/oformlenie/poshliny-i-sbory/stavki.html" TargetMode="External"/><Relationship Id="rId17" Type="http://schemas.openxmlformats.org/officeDocument/2006/relationships/hyperlink" Target="http://uriston.com/tamozhennoe-pravo/oformlenie/soprovoditelnaya-dokumentatsiya/gruzovaya-deklaratsiy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uriston.com/tamozhennoe-pravo/oformlenie/protsedurnye-voprosy/produktsiya-s-obyazatelnoj-sertifikatsiej-i-deklarirovaniem.html" TargetMode="External"/><Relationship Id="rId20" Type="http://schemas.openxmlformats.org/officeDocument/2006/relationships/hyperlink" Target="http://uriston.com/tamozhennoe-pravo/kontrol/osmotr-tovarov-i-transport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riston.com/tamozhennoe-pravo/oformlenie/rezhimy/eksport.html" TargetMode="External"/><Relationship Id="rId11" Type="http://schemas.openxmlformats.org/officeDocument/2006/relationships/hyperlink" Target="http://uriston.com/tamozhennoe-pravo/oformlenie/poshliny-i-sbory/eksportnye.html" TargetMode="External"/><Relationship Id="rId5" Type="http://schemas.openxmlformats.org/officeDocument/2006/relationships/hyperlink" Target="http://uriston.com/tamozhennoe-pravo/kontrol/pri-peresechenii-granitsy.html" TargetMode="External"/><Relationship Id="rId15" Type="http://schemas.openxmlformats.org/officeDocument/2006/relationships/hyperlink" Target="http://uriston.com/tamozhennoe-pravo/oformlenie/soprovoditelnaya-dokumentatsiya/fitosanitarnyj-sertifikat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uriston.com/tamozhennoe-pravo/perevozki/gruzy/morskim-transportom.html" TargetMode="External"/><Relationship Id="rId19" Type="http://schemas.openxmlformats.org/officeDocument/2006/relationships/hyperlink" Target="http://uriston.com/tamozhennoe-pravo/oformlenie/zaklyuchenie-vneshneekonomicheskoj-sdelk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riston.com/tamozhennoe-pravo/perevozki/gruzy/zheleznodorozhnym-transportom.html" TargetMode="External"/><Relationship Id="rId14" Type="http://schemas.openxmlformats.org/officeDocument/2006/relationships/hyperlink" Target="http://uriston.com/tamozhennoe-pravo/oformlenie/protsedurnye-voprosy/kvota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razgonyaeva</dc:creator>
  <cp:lastModifiedBy>razgonyaeva</cp:lastModifiedBy>
  <cp:revision>2</cp:revision>
  <cp:lastPrinted>2019-04-25T03:59:00Z</cp:lastPrinted>
  <dcterms:created xsi:type="dcterms:W3CDTF">2019-04-25T03:59:00Z</dcterms:created>
  <dcterms:modified xsi:type="dcterms:W3CDTF">2019-04-25T03:59:00Z</dcterms:modified>
</cp:coreProperties>
</file>