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Calibri" w:cs="Times New Roman"/>
          <w:b/>
          <w:sz w:val="27"/>
          <w:szCs w:val="27"/>
        </w:rPr>
      </w:pPr>
      <w:r>
        <w:rPr>
          <w:rFonts w:ascii="Times New Roman" w:hAnsi="Times New Roman" w:eastAsia="Calibri" w:cs="Times New Roman"/>
          <w:b/>
          <w:sz w:val="27"/>
          <w:szCs w:val="27"/>
        </w:rPr>
        <w:t xml:space="preserve">ИНСТИТУЦИОНАЛЬНАЯ СТРУКТУРА на 01.01.2024г.</w:t>
      </w:r>
      <w:r>
        <w:rPr>
          <w:rFonts w:ascii="Times New Roman" w:hAnsi="Times New Roman" w:eastAsia="Calibri" w:cs="Times New Roman"/>
          <w:b/>
          <w:sz w:val="27"/>
          <w:szCs w:val="27"/>
        </w:rPr>
      </w:r>
      <w:r>
        <w:rPr>
          <w:rFonts w:ascii="Times New Roman" w:hAnsi="Times New Roman" w:eastAsia="Calibri" w:cs="Times New Roman"/>
          <w:b/>
          <w:sz w:val="27"/>
          <w:szCs w:val="27"/>
        </w:rPr>
      </w:r>
    </w:p>
    <w:p>
      <w:pPr>
        <w:jc w:val="both"/>
        <w:spacing w:after="0"/>
        <w:rPr>
          <w:rFonts w:ascii="Times New Roman" w:hAnsi="Times New Roman" w:eastAsia="Calibri" w:cs="Times New Roman"/>
          <w:sz w:val="27"/>
          <w:szCs w:val="27"/>
        </w:rPr>
      </w:pPr>
      <w:r>
        <w:rPr>
          <w:rFonts w:ascii="Times New Roman" w:hAnsi="Times New Roman" w:eastAsia="Calibri" w:cs="Times New Roman"/>
          <w:sz w:val="27"/>
          <w:szCs w:val="27"/>
        </w:rPr>
        <w:t xml:space="preserve">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      </w:t>
      </w:r>
      <w:r>
        <w:rPr>
          <w:rFonts w:ascii="Times New Roman" w:hAnsi="Times New Roman" w:eastAsia="Calibri" w:cs="Times New Roman"/>
          <w:sz w:val="27"/>
          <w:szCs w:val="27"/>
        </w:rPr>
        <w:t xml:space="preserve">На 01.01.2024 года на территории муниципального района </w:t>
      </w:r>
      <w:r>
        <w:rPr>
          <w:rFonts w:ascii="Times New Roman" w:hAnsi="Times New Roman" w:eastAsia="Calibri" w:cs="Times New Roman"/>
          <w:sz w:val="27"/>
          <w:szCs w:val="27"/>
        </w:rPr>
        <w:t xml:space="preserve">Алексеевский</w:t>
      </w:r>
      <w:r>
        <w:rPr>
          <w:rFonts w:ascii="Times New Roman" w:hAnsi="Times New Roman" w:eastAsia="Calibri" w:cs="Times New Roman"/>
          <w:sz w:val="27"/>
          <w:szCs w:val="27"/>
        </w:rPr>
        <w:t xml:space="preserve"> зарегистрировано 103 организаций, что составляет 102,0% от количества организаций по состоянию на 01.01.2023 года.</w:t>
      </w:r>
      <w:r>
        <w:rPr>
          <w:rFonts w:ascii="Times New Roman" w:hAnsi="Times New Roman" w:eastAsia="Calibri" w:cs="Times New Roman"/>
          <w:sz w:val="27"/>
          <w:szCs w:val="27"/>
        </w:rPr>
      </w:r>
      <w:r>
        <w:rPr>
          <w:rFonts w:ascii="Times New Roman" w:hAnsi="Times New Roman" w:eastAsia="Calibri" w:cs="Times New Roman"/>
          <w:sz w:val="27"/>
          <w:szCs w:val="27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       По видам  экономической деятельности 103 организации распределены так: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 23,3% сельское хозяйство; 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3,9%  обрабатывающее производство, 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1,0 % обеспечение электрической энергией, газом и паром; кондиционирование воздуха;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1,0% водоснабжение, водоотведение, организация сбора и утилизация отходов; 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3,9% строительство; 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7,7% розничная торговля и ремонт транспортных средств; 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4,9% транспортировка и хранение; 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2,9% деятельность в области информации и связи;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2,9% деятельность профессиональная научная  и техническая; 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4,9% деятельность по операциям  с недвижимым имуществом;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19,4 % государственное управление;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11,7% образование;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1,9 % здравоохранение и социальные услуги; 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2,9% деятельность в области культуры, спорта, организации  досуга и развлечений; 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7,8 % предоставление прочих видов услуг. 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2024-03-26T07:04:00Z</dcterms:modified>
</cp:coreProperties>
</file>